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823D" w14:textId="77777777" w:rsidR="00FA7F9F" w:rsidRDefault="00FA7F9F" w:rsidP="00432C2E">
      <w:pPr>
        <w:spacing w:after="454" w:line="620" w:lineRule="exact"/>
        <w:ind w:right="2551"/>
        <w:outlineLvl w:val="0"/>
        <w:rPr>
          <w:rFonts w:ascii="Source Sans Pro" w:eastAsia="Source Sans Pro Semibold" w:hAnsi="Source Sans Pro" w:cs="Times New Roman"/>
          <w:color w:val="962D91"/>
          <w:spacing w:val="-6"/>
          <w:sz w:val="40"/>
          <w:szCs w:val="40"/>
        </w:rPr>
      </w:pPr>
      <w:bookmarkStart w:id="0" w:name="_GoBack"/>
      <w:bookmarkEnd w:id="0"/>
      <w:r>
        <w:rPr>
          <w:noProof/>
          <w:lang w:val="en-US"/>
        </w:rPr>
        <w:drawing>
          <wp:anchor distT="0" distB="0" distL="114300" distR="114300" simplePos="0" relativeHeight="251660288" behindDoc="0" locked="0" layoutInCell="1" allowOverlap="1" wp14:anchorId="4468B3A9" wp14:editId="7FC1252B">
            <wp:simplePos x="0" y="0"/>
            <wp:positionH relativeFrom="column">
              <wp:posOffset>635</wp:posOffset>
            </wp:positionH>
            <wp:positionV relativeFrom="paragraph">
              <wp:posOffset>0</wp:posOffset>
            </wp:positionV>
            <wp:extent cx="3023622" cy="624841"/>
            <wp:effectExtent l="0" t="0" r="5715" b="381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anchor>
        </w:drawing>
      </w:r>
    </w:p>
    <w:p w14:paraId="33522A4A" w14:textId="77777777" w:rsidR="00FA7F9F" w:rsidRDefault="00FA7F9F" w:rsidP="00432C2E">
      <w:pPr>
        <w:spacing w:after="454" w:line="620" w:lineRule="exact"/>
        <w:ind w:right="2551"/>
        <w:outlineLvl w:val="0"/>
        <w:rPr>
          <w:rFonts w:ascii="Source Sans Pro" w:eastAsia="Source Sans Pro Semibold" w:hAnsi="Source Sans Pro" w:cs="Times New Roman"/>
          <w:color w:val="962D91"/>
          <w:spacing w:val="-6"/>
          <w:sz w:val="40"/>
          <w:szCs w:val="40"/>
        </w:rPr>
      </w:pPr>
    </w:p>
    <w:p w14:paraId="722D2156" w14:textId="77777777" w:rsidR="009C0A9C" w:rsidRDefault="006F1364" w:rsidP="00FA7F9F">
      <w:pPr>
        <w:spacing w:after="454" w:line="620" w:lineRule="exact"/>
        <w:ind w:right="2551"/>
        <w:jc w:val="center"/>
        <w:outlineLvl w:val="0"/>
        <w:rPr>
          <w:rFonts w:ascii="Source Sans Pro" w:eastAsia="Source Sans Pro Semibold" w:hAnsi="Source Sans Pro" w:cs="Times New Roman"/>
          <w:b/>
          <w:color w:val="962D91"/>
          <w:spacing w:val="-6"/>
          <w:sz w:val="52"/>
          <w:szCs w:val="52"/>
        </w:rPr>
      </w:pPr>
      <w:r w:rsidRPr="00FA7F9F">
        <w:rPr>
          <w:rFonts w:ascii="Source Sans Pro" w:eastAsia="Source Sans Pro Semibold" w:hAnsi="Source Sans Pro" w:cs="Times New Roman"/>
          <w:b/>
          <w:color w:val="962D91"/>
          <w:spacing w:val="-6"/>
          <w:sz w:val="52"/>
          <w:szCs w:val="52"/>
        </w:rPr>
        <w:t xml:space="preserve">Cochrane Consumer Network </w:t>
      </w:r>
    </w:p>
    <w:p w14:paraId="4864D2E2" w14:textId="77777777" w:rsidR="00FA7F9F" w:rsidRPr="00FA7F9F" w:rsidRDefault="006F1364" w:rsidP="00FA7F9F">
      <w:pPr>
        <w:spacing w:after="454" w:line="620" w:lineRule="exact"/>
        <w:ind w:right="2551"/>
        <w:jc w:val="center"/>
        <w:outlineLvl w:val="0"/>
        <w:rPr>
          <w:rFonts w:ascii="Source Sans Pro" w:eastAsia="Source Sans Pro Semibold" w:hAnsi="Source Sans Pro" w:cs="Times New Roman"/>
          <w:b/>
          <w:color w:val="962D91"/>
          <w:spacing w:val="-6"/>
          <w:sz w:val="52"/>
          <w:szCs w:val="52"/>
        </w:rPr>
      </w:pPr>
      <w:r w:rsidRPr="00FA7F9F">
        <w:rPr>
          <w:rFonts w:ascii="Source Sans Pro" w:eastAsia="Source Sans Pro Semibold" w:hAnsi="Source Sans Pro" w:cs="Times New Roman"/>
          <w:b/>
          <w:color w:val="962D91"/>
          <w:spacing w:val="-6"/>
          <w:sz w:val="52"/>
          <w:szCs w:val="52"/>
        </w:rPr>
        <w:t>Delivery</w:t>
      </w:r>
      <w:r w:rsidR="00432C2E" w:rsidRPr="00FA7F9F">
        <w:rPr>
          <w:rFonts w:ascii="Source Sans Pro" w:eastAsia="Source Sans Pro Semibold" w:hAnsi="Source Sans Pro" w:cs="Times New Roman"/>
          <w:b/>
          <w:color w:val="962D91"/>
          <w:spacing w:val="-6"/>
          <w:sz w:val="52"/>
          <w:szCs w:val="52"/>
        </w:rPr>
        <w:t xml:space="preserve"> Plan</w:t>
      </w:r>
    </w:p>
    <w:p w14:paraId="5EFAFEA4" w14:textId="77777777" w:rsidR="00432C2E" w:rsidRPr="00FA7F9F" w:rsidRDefault="00FA7F9F" w:rsidP="00FA7F9F">
      <w:pPr>
        <w:spacing w:after="454" w:line="620" w:lineRule="exact"/>
        <w:ind w:right="2551"/>
        <w:jc w:val="center"/>
        <w:outlineLvl w:val="0"/>
        <w:rPr>
          <w:rFonts w:ascii="Source Sans Pro" w:eastAsia="Source Sans Pro Semibold" w:hAnsi="Source Sans Pro" w:cs="Times New Roman"/>
          <w:color w:val="962D91"/>
          <w:spacing w:val="-6"/>
          <w:sz w:val="52"/>
          <w:szCs w:val="52"/>
        </w:rPr>
      </w:pPr>
      <w:r w:rsidRPr="00FA7F9F">
        <w:rPr>
          <w:rFonts w:ascii="Source Sans Pro" w:eastAsia="Source Sans Pro Semibold" w:hAnsi="Source Sans Pro" w:cs="Times New Roman"/>
          <w:b/>
          <w:color w:val="962D91"/>
          <w:spacing w:val="-6"/>
          <w:sz w:val="52"/>
          <w:szCs w:val="52"/>
        </w:rPr>
        <w:t xml:space="preserve">2016 </w:t>
      </w:r>
      <w:r w:rsidR="00432C2E" w:rsidRPr="00FA7F9F">
        <w:rPr>
          <w:rFonts w:ascii="Source Sans Pro" w:eastAsia="Source Sans Pro Semibold" w:hAnsi="Source Sans Pro" w:cs="Times New Roman"/>
          <w:b/>
          <w:color w:val="962D91"/>
          <w:spacing w:val="-6"/>
          <w:sz w:val="52"/>
          <w:szCs w:val="52"/>
        </w:rPr>
        <w:t>to 2020</w:t>
      </w:r>
      <w:r w:rsidRPr="00FA7F9F">
        <w:rPr>
          <w:noProof/>
          <w:color w:val="FFFFFF" w:themeColor="background1"/>
          <w:sz w:val="52"/>
          <w:szCs w:val="52"/>
          <w:lang w:val="en-US"/>
        </w:rPr>
        <w:drawing>
          <wp:anchor distT="0" distB="0" distL="114300" distR="114300" simplePos="0" relativeHeight="251659264" behindDoc="1" locked="1" layoutInCell="1" allowOverlap="1" wp14:anchorId="2FBBED77" wp14:editId="5791B809">
            <wp:simplePos x="0" y="0"/>
            <wp:positionH relativeFrom="page">
              <wp:posOffset>7504430</wp:posOffset>
            </wp:positionH>
            <wp:positionV relativeFrom="paragraph">
              <wp:posOffset>-2766060</wp:posOffset>
            </wp:positionV>
            <wp:extent cx="3187700" cy="7576185"/>
            <wp:effectExtent l="0" t="0" r="0" b="571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8" cstate="print">
                      <a:extLst>
                        <a:ext uri="{28A0092B-C50C-407E-A947-70E740481C1C}">
                          <a14:useLocalDpi xmlns:a14="http://schemas.microsoft.com/office/drawing/2010/main" val="0"/>
                        </a:ext>
                      </a:extLst>
                    </a:blip>
                    <a:srcRect t="16165" b="13537"/>
                    <a:stretch/>
                  </pic:blipFill>
                  <pic:spPr bwMode="auto">
                    <a:xfrm>
                      <a:off x="0" y="0"/>
                      <a:ext cx="3187700" cy="75761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7D1E9"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6D0CCCE8"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r>
        <w:rPr>
          <w:rFonts w:ascii="Source Sans Pro" w:eastAsia="Source Sans Pro Semibold" w:hAnsi="Source Sans Pro" w:cs="Times New Roman"/>
          <w:b/>
          <w:noProof/>
          <w:color w:val="002D64"/>
          <w:sz w:val="24"/>
          <w:lang w:val="en-US"/>
        </w:rPr>
        <w:drawing>
          <wp:anchor distT="0" distB="0" distL="114300" distR="114300" simplePos="0" relativeHeight="251661312" behindDoc="0" locked="0" layoutInCell="1" allowOverlap="1" wp14:anchorId="0C4E07E4" wp14:editId="28916868">
            <wp:simplePos x="0" y="0"/>
            <wp:positionH relativeFrom="column">
              <wp:posOffset>1092959</wp:posOffset>
            </wp:positionH>
            <wp:positionV relativeFrom="paragraph">
              <wp:posOffset>35560</wp:posOffset>
            </wp:positionV>
            <wp:extent cx="5248050" cy="3190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w-bxmZd0cPcfm8XZ4iv556iboblgfTpXtbRQnMnuQ.jpg"/>
                    <pic:cNvPicPr/>
                  </pic:nvPicPr>
                  <pic:blipFill>
                    <a:blip r:embed="rId9">
                      <a:extLst>
                        <a:ext uri="{28A0092B-C50C-407E-A947-70E740481C1C}">
                          <a14:useLocalDpi xmlns:a14="http://schemas.microsoft.com/office/drawing/2010/main" val="0"/>
                        </a:ext>
                      </a:extLst>
                    </a:blip>
                    <a:stretch>
                      <a:fillRect/>
                    </a:stretch>
                  </pic:blipFill>
                  <pic:spPr>
                    <a:xfrm>
                      <a:off x="0" y="0"/>
                      <a:ext cx="5248050" cy="3190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F1DC463"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5403D737"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32643D3C"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4A8E01FC"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44EEFC8F"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1F5BD5E3"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21293A70"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45B38D6A"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1444F43A"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345A0AF2"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7D62B064"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4E15DB4C"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378ACCE6" w14:textId="77777777" w:rsidR="00FA7F9F" w:rsidRDefault="00FA7F9F" w:rsidP="00FA7F9F">
      <w:pPr>
        <w:spacing w:after="0" w:line="280" w:lineRule="exact"/>
        <w:ind w:right="3827"/>
        <w:outlineLvl w:val="1"/>
        <w:rPr>
          <w:rFonts w:ascii="Source Sans Pro" w:eastAsia="Source Sans Pro Semibold" w:hAnsi="Source Sans Pro" w:cs="Times New Roman"/>
          <w:b/>
          <w:color w:val="002D64"/>
          <w:sz w:val="24"/>
        </w:rPr>
      </w:pPr>
    </w:p>
    <w:p w14:paraId="62E368AC" w14:textId="77777777" w:rsidR="00FA7F9F" w:rsidRDefault="00FA7F9F">
      <w:pPr>
        <w:rPr>
          <w:rFonts w:ascii="Source Sans Pro" w:eastAsia="Source Sans Pro Semibold" w:hAnsi="Source Sans Pro" w:cs="Times New Roman"/>
          <w:b/>
          <w:color w:val="002D64"/>
          <w:sz w:val="24"/>
        </w:rPr>
      </w:pPr>
      <w:r>
        <w:rPr>
          <w:rFonts w:ascii="Source Sans Pro" w:eastAsia="Source Sans Pro Semibold" w:hAnsi="Source Sans Pro" w:cs="Times New Roman"/>
          <w:b/>
          <w:color w:val="002D64"/>
          <w:sz w:val="24"/>
        </w:rPr>
        <w:lastRenderedPageBreak/>
        <w:br w:type="page"/>
      </w:r>
    </w:p>
    <w:p w14:paraId="49337583" w14:textId="77777777" w:rsidR="00EE15E8" w:rsidRPr="009C0A9C" w:rsidRDefault="00EE15E8" w:rsidP="00EE15E8">
      <w:pPr>
        <w:spacing w:after="0" w:line="480" w:lineRule="auto"/>
        <w:rPr>
          <w:rFonts w:ascii="Source Sans Pro" w:eastAsia="Source Sans Pro Semibold" w:hAnsi="Source Sans Pro" w:cs="Times New Roman"/>
          <w:b/>
          <w:color w:val="962D91"/>
          <w:spacing w:val="-6"/>
          <w:sz w:val="52"/>
          <w:szCs w:val="52"/>
        </w:rPr>
      </w:pPr>
      <w:r>
        <w:rPr>
          <w:rFonts w:ascii="Source Sans Pro" w:eastAsia="Source Sans Pro Semibold" w:hAnsi="Source Sans Pro" w:cs="Times New Roman"/>
          <w:b/>
          <w:color w:val="962D91"/>
          <w:spacing w:val="-6"/>
          <w:sz w:val="52"/>
          <w:szCs w:val="52"/>
        </w:rPr>
        <w:lastRenderedPageBreak/>
        <w:t xml:space="preserve">Background to the Delivery </w:t>
      </w:r>
      <w:r w:rsidR="00724455">
        <w:rPr>
          <w:rFonts w:ascii="Source Sans Pro" w:eastAsia="Source Sans Pro Semibold" w:hAnsi="Source Sans Pro" w:cs="Times New Roman"/>
          <w:b/>
          <w:color w:val="962D91"/>
          <w:spacing w:val="-6"/>
          <w:sz w:val="52"/>
          <w:szCs w:val="52"/>
        </w:rPr>
        <w:t>P</w:t>
      </w:r>
      <w:r>
        <w:rPr>
          <w:rFonts w:ascii="Source Sans Pro" w:eastAsia="Source Sans Pro Semibold" w:hAnsi="Source Sans Pro" w:cs="Times New Roman"/>
          <w:b/>
          <w:color w:val="962D91"/>
          <w:spacing w:val="-6"/>
          <w:sz w:val="52"/>
          <w:szCs w:val="52"/>
        </w:rPr>
        <w:t xml:space="preserve">lan </w:t>
      </w:r>
      <w:r w:rsidR="008B1C9E">
        <w:rPr>
          <w:rFonts w:ascii="Source Sans Pro" w:eastAsia="Source Sans Pro Semibold" w:hAnsi="Source Sans Pro" w:cs="Times New Roman"/>
          <w:b/>
          <w:color w:val="962D91"/>
          <w:spacing w:val="-6"/>
          <w:sz w:val="52"/>
          <w:szCs w:val="52"/>
        </w:rPr>
        <w:t>2016</w:t>
      </w:r>
      <w:r w:rsidR="00724455">
        <w:rPr>
          <w:rFonts w:ascii="Source Sans Pro" w:eastAsia="Source Sans Pro Semibold" w:hAnsi="Source Sans Pro" w:cs="Times New Roman"/>
          <w:b/>
          <w:color w:val="962D91"/>
          <w:spacing w:val="-6"/>
          <w:sz w:val="52"/>
          <w:szCs w:val="52"/>
        </w:rPr>
        <w:t xml:space="preserve"> to </w:t>
      </w:r>
      <w:r>
        <w:rPr>
          <w:rFonts w:ascii="Source Sans Pro" w:eastAsia="Source Sans Pro Semibold" w:hAnsi="Source Sans Pro" w:cs="Times New Roman"/>
          <w:b/>
          <w:color w:val="962D91"/>
          <w:spacing w:val="-6"/>
          <w:sz w:val="52"/>
          <w:szCs w:val="52"/>
        </w:rPr>
        <w:t>2020</w:t>
      </w:r>
    </w:p>
    <w:p w14:paraId="562FF310" w14:textId="77777777" w:rsidR="000A3880" w:rsidRPr="00FD1FEB" w:rsidRDefault="000A3880" w:rsidP="00FA7F9F">
      <w:pPr>
        <w:spacing w:after="0" w:line="280" w:lineRule="exact"/>
        <w:outlineLvl w:val="1"/>
        <w:rPr>
          <w:rFonts w:ascii="Source Sans Pro" w:eastAsia="Source Sans Pro Semibold" w:hAnsi="Source Sans Pro" w:cs="Times New Roman"/>
          <w:b/>
          <w:color w:val="002D64"/>
        </w:rPr>
      </w:pPr>
      <w:r w:rsidRPr="00FD1FEB">
        <w:rPr>
          <w:rFonts w:ascii="Source Sans Pro" w:eastAsia="Source Sans Pro Semibold" w:hAnsi="Source Sans Pro" w:cs="Times New Roman"/>
          <w:b/>
          <w:color w:val="002D64"/>
        </w:rPr>
        <w:t>Purpose</w:t>
      </w:r>
    </w:p>
    <w:p w14:paraId="088C89CD" w14:textId="77777777" w:rsidR="000A3880" w:rsidRPr="00FD1FEB" w:rsidRDefault="000A3880" w:rsidP="00FA7F9F">
      <w:pPr>
        <w:spacing w:after="0" w:line="280" w:lineRule="exact"/>
        <w:outlineLvl w:val="1"/>
        <w:rPr>
          <w:rFonts w:ascii="Source Sans Pro" w:eastAsia="Source Sans Pro Semibold" w:hAnsi="Source Sans Pro" w:cs="Times New Roman"/>
          <w:b/>
          <w:color w:val="002D64"/>
        </w:rPr>
      </w:pPr>
    </w:p>
    <w:p w14:paraId="128F40E9" w14:textId="77777777" w:rsidR="00C87FB5" w:rsidRPr="004949DE" w:rsidRDefault="000A3880" w:rsidP="00C87FB5">
      <w:pPr>
        <w:spacing w:after="0" w:line="240" w:lineRule="auto"/>
        <w:rPr>
          <w:rFonts w:ascii="Source Sans Pro Semibold" w:eastAsia="Source Sans Pro Semibold" w:hAnsi="Source Sans Pro Semibold" w:cs="Times New Roman"/>
          <w:lang w:val="en-CA"/>
        </w:rPr>
      </w:pPr>
      <w:r w:rsidRPr="00FD1FEB">
        <w:rPr>
          <w:rFonts w:ascii="Source Sans Pro Semibold" w:eastAsia="Source Sans Pro Semibold" w:hAnsi="Source Sans Pro Semibold" w:cs="Times New Roman"/>
          <w:lang w:val="en-CA"/>
        </w:rPr>
        <w:t xml:space="preserve">The purpose of this </w:t>
      </w:r>
      <w:r w:rsidR="00617194" w:rsidRPr="00FD1FEB">
        <w:rPr>
          <w:rFonts w:ascii="Source Sans Pro Semibold" w:eastAsia="Source Sans Pro Semibold" w:hAnsi="Source Sans Pro Semibold" w:cs="Times New Roman"/>
          <w:lang w:val="en-CA"/>
        </w:rPr>
        <w:t xml:space="preserve">Delivery Plan is to </w:t>
      </w:r>
      <w:r w:rsidR="008B1C9E">
        <w:rPr>
          <w:rFonts w:ascii="Source Sans Pro Semibold" w:eastAsia="Source Sans Pro Semibold" w:hAnsi="Source Sans Pro Semibold" w:cs="Times New Roman"/>
          <w:lang w:val="en-CA"/>
        </w:rPr>
        <w:t xml:space="preserve">set out </w:t>
      </w:r>
      <w:r w:rsidR="00617194" w:rsidRPr="00FD1FEB">
        <w:rPr>
          <w:rFonts w:ascii="Source Sans Pro Semibold" w:eastAsia="Source Sans Pro Semibold" w:hAnsi="Source Sans Pro Semibold" w:cs="Times New Roman"/>
          <w:lang w:val="en-CA"/>
        </w:rPr>
        <w:t xml:space="preserve">a </w:t>
      </w:r>
      <w:r w:rsidR="009057C1" w:rsidRPr="00FD1FEB">
        <w:rPr>
          <w:rFonts w:ascii="Source Sans Pro Semibold" w:eastAsia="Source Sans Pro Semibold" w:hAnsi="Source Sans Pro Semibold" w:cs="Times New Roman"/>
          <w:lang w:val="en-CA"/>
        </w:rPr>
        <w:t>framework</w:t>
      </w:r>
      <w:r w:rsidR="007351F6" w:rsidRPr="00FD1FEB">
        <w:rPr>
          <w:rFonts w:ascii="Source Sans Pro Semibold" w:eastAsia="Source Sans Pro Semibold" w:hAnsi="Source Sans Pro Semibold" w:cs="Times New Roman"/>
          <w:lang w:val="en-CA"/>
        </w:rPr>
        <w:t xml:space="preserve"> for implementing </w:t>
      </w:r>
      <w:r w:rsidR="008B1C9E">
        <w:rPr>
          <w:rFonts w:ascii="Source Sans Pro Semibold" w:eastAsia="Source Sans Pro Semibold" w:hAnsi="Source Sans Pro Semibold" w:cs="Times New Roman"/>
          <w:lang w:val="en-CA"/>
        </w:rPr>
        <w:t xml:space="preserve">the </w:t>
      </w:r>
      <w:r w:rsidR="007351F6" w:rsidRPr="00FD1FEB">
        <w:rPr>
          <w:rFonts w:ascii="Source Sans Pro Semibold" w:eastAsia="Source Sans Pro Semibold" w:hAnsi="Source Sans Pro Semibold" w:cs="Times New Roman"/>
          <w:lang w:val="en-CA"/>
        </w:rPr>
        <w:t xml:space="preserve">key </w:t>
      </w:r>
      <w:r w:rsidR="004949DE">
        <w:rPr>
          <w:rFonts w:ascii="Source Sans Pro Semibold" w:eastAsia="Source Sans Pro Semibold" w:hAnsi="Source Sans Pro Semibold" w:cs="Times New Roman"/>
          <w:lang w:val="en-CA"/>
        </w:rPr>
        <w:t>priorities</w:t>
      </w:r>
      <w:r w:rsidR="008B1C9E">
        <w:rPr>
          <w:rFonts w:ascii="Source Sans Pro Semibold" w:eastAsia="Source Sans Pro Semibold" w:hAnsi="Source Sans Pro Semibold" w:cs="Times New Roman"/>
          <w:lang w:val="en-CA"/>
        </w:rPr>
        <w:t xml:space="preserve"> identified by the recent Cochrane Consumer Network Structure and Function Review</w:t>
      </w:r>
      <w:r w:rsidR="004949DE">
        <w:rPr>
          <w:rFonts w:ascii="Source Sans Pro Semibold" w:eastAsia="Source Sans Pro Semibold" w:hAnsi="Source Sans Pro Semibold" w:cs="Times New Roman"/>
          <w:lang w:val="en-CA"/>
        </w:rPr>
        <w:t xml:space="preserve">. </w:t>
      </w:r>
      <w:r w:rsidR="00C87FB5">
        <w:rPr>
          <w:rFonts w:ascii="Source Sans Pro" w:eastAsia="Source Sans Pro Semibold" w:hAnsi="Source Sans Pro" w:cs="Times New Roman"/>
        </w:rPr>
        <w:t xml:space="preserve">The network of </w:t>
      </w:r>
      <w:r w:rsidR="008B1C9E">
        <w:rPr>
          <w:rFonts w:ascii="Source Sans Pro" w:eastAsia="Source Sans Pro Semibold" w:hAnsi="Source Sans Pro" w:cs="Times New Roman"/>
        </w:rPr>
        <w:t>c</w:t>
      </w:r>
      <w:r w:rsidR="00C87FB5">
        <w:rPr>
          <w:rFonts w:ascii="Source Sans Pro" w:eastAsia="Source Sans Pro Semibold" w:hAnsi="Source Sans Pro" w:cs="Times New Roman"/>
        </w:rPr>
        <w:t>onsumer</w:t>
      </w:r>
      <w:r w:rsidR="008B1C9E">
        <w:rPr>
          <w:rFonts w:ascii="Source Sans Pro" w:eastAsia="Source Sans Pro Semibold" w:hAnsi="Source Sans Pro" w:cs="Times New Roman"/>
        </w:rPr>
        <w:t xml:space="preserve"> contributors </w:t>
      </w:r>
      <w:r w:rsidR="00C87FB5">
        <w:rPr>
          <w:rFonts w:ascii="Source Sans Pro" w:eastAsia="Source Sans Pro Semibold" w:hAnsi="Source Sans Pro" w:cs="Times New Roman"/>
        </w:rPr>
        <w:t>is a</w:t>
      </w:r>
      <w:r w:rsidR="00580757">
        <w:rPr>
          <w:rFonts w:ascii="Source Sans Pro" w:eastAsia="Source Sans Pro Semibold" w:hAnsi="Source Sans Pro" w:cs="Times New Roman"/>
        </w:rPr>
        <w:t xml:space="preserve"> fundamental </w:t>
      </w:r>
      <w:r w:rsidR="00C87FB5">
        <w:rPr>
          <w:rFonts w:ascii="Source Sans Pro" w:eastAsia="Source Sans Pro Semibold" w:hAnsi="Source Sans Pro" w:cs="Times New Roman"/>
        </w:rPr>
        <w:t xml:space="preserve">part of </w:t>
      </w:r>
      <w:r w:rsidR="008B1C9E">
        <w:rPr>
          <w:rFonts w:ascii="Source Sans Pro" w:eastAsia="Source Sans Pro Semibold" w:hAnsi="Source Sans Pro" w:cs="Times New Roman"/>
        </w:rPr>
        <w:t xml:space="preserve">Cochrane, </w:t>
      </w:r>
      <w:r w:rsidR="00580757">
        <w:rPr>
          <w:rFonts w:ascii="Source Sans Pro" w:eastAsia="Source Sans Pro Semibold" w:hAnsi="Source Sans Pro" w:cs="Times New Roman"/>
        </w:rPr>
        <w:t>and contributes</w:t>
      </w:r>
      <w:r w:rsidR="00C87FB5">
        <w:rPr>
          <w:rFonts w:ascii="Source Sans Pro" w:eastAsia="Source Sans Pro Semibold" w:hAnsi="Source Sans Pro" w:cs="Times New Roman"/>
        </w:rPr>
        <w:t xml:space="preserve"> at every level to the </w:t>
      </w:r>
      <w:r w:rsidR="008B1C9E">
        <w:rPr>
          <w:rFonts w:ascii="Source Sans Pro" w:eastAsia="Source Sans Pro Semibold" w:hAnsi="Source Sans Pro" w:cs="Times New Roman"/>
        </w:rPr>
        <w:t>g</w:t>
      </w:r>
      <w:r w:rsidR="00C87FB5">
        <w:rPr>
          <w:rFonts w:ascii="Source Sans Pro" w:eastAsia="Source Sans Pro Semibold" w:hAnsi="Source Sans Pro" w:cs="Times New Roman"/>
        </w:rPr>
        <w:t xml:space="preserve">oals identified in </w:t>
      </w:r>
      <w:r w:rsidR="00580757">
        <w:rPr>
          <w:rFonts w:ascii="Source Sans Pro" w:eastAsia="Source Sans Pro Semibold" w:hAnsi="Source Sans Pro" w:cs="Times New Roman"/>
        </w:rPr>
        <w:t>Cochrane’s Strategy</w:t>
      </w:r>
      <w:r w:rsidR="00C87FB5">
        <w:rPr>
          <w:rFonts w:ascii="Source Sans Pro" w:eastAsia="Source Sans Pro Semibold" w:hAnsi="Source Sans Pro" w:cs="Times New Roman"/>
        </w:rPr>
        <w:t xml:space="preserve"> to 2020</w:t>
      </w:r>
      <w:r w:rsidR="00C87FB5" w:rsidRPr="00C87FB5">
        <w:rPr>
          <w:rFonts w:ascii="Source Sans Pro" w:eastAsia="Source Sans Pro Semibold" w:hAnsi="Source Sans Pro" w:cs="Times New Roman"/>
        </w:rPr>
        <w:t>:</w:t>
      </w:r>
    </w:p>
    <w:p w14:paraId="1CB9F068" w14:textId="77777777" w:rsidR="00C87FB5" w:rsidRDefault="00C87FB5" w:rsidP="00C87FB5">
      <w:pPr>
        <w:spacing w:after="0" w:line="240" w:lineRule="auto"/>
        <w:rPr>
          <w:rFonts w:ascii="Source Sans Pro" w:eastAsia="Source Sans Pro Semibold" w:hAnsi="Source Sans Pro" w:cs="Times New Roman"/>
        </w:rPr>
      </w:pPr>
    </w:p>
    <w:p w14:paraId="24487D61" w14:textId="77777777" w:rsidR="00C87FB5" w:rsidRPr="00401758" w:rsidRDefault="00C87FB5" w:rsidP="00C87FB5">
      <w:pPr>
        <w:spacing w:after="0" w:line="240" w:lineRule="auto"/>
        <w:rPr>
          <w:rFonts w:ascii="Source Sans Pro" w:eastAsia="Source Sans Pro Semibold" w:hAnsi="Source Sans Pro" w:cs="Times New Roman"/>
          <w:b/>
        </w:rPr>
      </w:pPr>
      <w:r w:rsidRPr="00401758">
        <w:rPr>
          <w:rFonts w:ascii="Source Sans Pro" w:eastAsia="Source Sans Pro Semibold" w:hAnsi="Source Sans Pro" w:cs="Times New Roman"/>
          <w:b/>
        </w:rPr>
        <w:t>GOAL 1: Producing evidence</w:t>
      </w:r>
    </w:p>
    <w:p w14:paraId="0BFEC38A" w14:textId="77777777" w:rsidR="00C87FB5" w:rsidRPr="00C87FB5" w:rsidRDefault="00C87FB5" w:rsidP="00C87FB5">
      <w:pPr>
        <w:spacing w:after="0" w:line="240" w:lineRule="auto"/>
        <w:rPr>
          <w:rFonts w:ascii="Source Sans Pro" w:eastAsia="Source Sans Pro Semibold" w:hAnsi="Source Sans Pro" w:cs="Times New Roman"/>
        </w:rPr>
      </w:pPr>
      <w:r w:rsidRPr="00C87FB5">
        <w:rPr>
          <w:rFonts w:ascii="Source Sans Pro" w:eastAsia="Source Sans Pro Semibold" w:hAnsi="Source Sans Pro" w:cs="Times New Roman"/>
        </w:rPr>
        <w:t>To produce high-quality, relevant, up-to-date systematic reviews and other</w:t>
      </w:r>
      <w:r>
        <w:rPr>
          <w:rFonts w:ascii="Source Sans Pro" w:eastAsia="Source Sans Pro Semibold" w:hAnsi="Source Sans Pro" w:cs="Times New Roman"/>
        </w:rPr>
        <w:t xml:space="preserve"> </w:t>
      </w:r>
      <w:r w:rsidRPr="00C87FB5">
        <w:rPr>
          <w:rFonts w:ascii="Source Sans Pro" w:eastAsia="Source Sans Pro Semibold" w:hAnsi="Source Sans Pro" w:cs="Times New Roman"/>
        </w:rPr>
        <w:t>synthesised research evidence to inform health decision making.</w:t>
      </w:r>
    </w:p>
    <w:p w14:paraId="47A03BAE" w14:textId="77777777" w:rsidR="00C87FB5" w:rsidRDefault="00C87FB5" w:rsidP="00C87FB5">
      <w:pPr>
        <w:spacing w:after="0" w:line="240" w:lineRule="auto"/>
        <w:rPr>
          <w:rFonts w:ascii="Source Sans Pro" w:eastAsia="Source Sans Pro Semibold" w:hAnsi="Source Sans Pro" w:cs="Times New Roman"/>
        </w:rPr>
      </w:pPr>
    </w:p>
    <w:p w14:paraId="691E650A" w14:textId="77777777" w:rsidR="00C87FB5" w:rsidRPr="00401758" w:rsidRDefault="00C87FB5" w:rsidP="00C87FB5">
      <w:pPr>
        <w:spacing w:after="0" w:line="240" w:lineRule="auto"/>
        <w:rPr>
          <w:rFonts w:ascii="Source Sans Pro" w:eastAsia="Source Sans Pro Semibold" w:hAnsi="Source Sans Pro" w:cs="Times New Roman"/>
          <w:b/>
        </w:rPr>
      </w:pPr>
      <w:r w:rsidRPr="00401758">
        <w:rPr>
          <w:rFonts w:ascii="Source Sans Pro" w:eastAsia="Source Sans Pro Semibold" w:hAnsi="Source Sans Pro" w:cs="Times New Roman"/>
          <w:b/>
        </w:rPr>
        <w:t>GOAL 2: Making our evidence accessible</w:t>
      </w:r>
    </w:p>
    <w:p w14:paraId="4E1720E0" w14:textId="77777777" w:rsidR="00C87FB5" w:rsidRPr="00C87FB5" w:rsidRDefault="00C87FB5" w:rsidP="00C87FB5">
      <w:pPr>
        <w:spacing w:after="0" w:line="240" w:lineRule="auto"/>
        <w:rPr>
          <w:rFonts w:ascii="Source Sans Pro" w:eastAsia="Source Sans Pro Semibold" w:hAnsi="Source Sans Pro" w:cs="Times New Roman"/>
        </w:rPr>
      </w:pPr>
      <w:r w:rsidRPr="00C87FB5">
        <w:rPr>
          <w:rFonts w:ascii="Source Sans Pro" w:eastAsia="Source Sans Pro Semibold" w:hAnsi="Source Sans Pro" w:cs="Times New Roman"/>
        </w:rPr>
        <w:t>To make Cochrane evidence accessible and useful to everybody, everywhere in</w:t>
      </w:r>
      <w:r>
        <w:rPr>
          <w:rFonts w:ascii="Source Sans Pro" w:eastAsia="Source Sans Pro Semibold" w:hAnsi="Source Sans Pro" w:cs="Times New Roman"/>
        </w:rPr>
        <w:t xml:space="preserve"> </w:t>
      </w:r>
      <w:r w:rsidRPr="00C87FB5">
        <w:rPr>
          <w:rFonts w:ascii="Source Sans Pro" w:eastAsia="Source Sans Pro Semibold" w:hAnsi="Source Sans Pro" w:cs="Times New Roman"/>
        </w:rPr>
        <w:t>the world.</w:t>
      </w:r>
    </w:p>
    <w:p w14:paraId="68550EF5" w14:textId="77777777" w:rsidR="00C87FB5" w:rsidRPr="00401758" w:rsidRDefault="00C87FB5" w:rsidP="00C87FB5">
      <w:pPr>
        <w:spacing w:after="0" w:line="240" w:lineRule="auto"/>
        <w:rPr>
          <w:rFonts w:ascii="Source Sans Pro" w:eastAsia="Source Sans Pro Semibold" w:hAnsi="Source Sans Pro" w:cs="Times New Roman"/>
          <w:b/>
        </w:rPr>
      </w:pPr>
    </w:p>
    <w:p w14:paraId="222BC830" w14:textId="77777777" w:rsidR="00C87FB5" w:rsidRPr="00401758" w:rsidRDefault="00C87FB5" w:rsidP="00C87FB5">
      <w:pPr>
        <w:spacing w:after="0" w:line="240" w:lineRule="auto"/>
        <w:rPr>
          <w:rFonts w:ascii="Source Sans Pro" w:eastAsia="Source Sans Pro Semibold" w:hAnsi="Source Sans Pro" w:cs="Times New Roman"/>
          <w:b/>
        </w:rPr>
      </w:pPr>
      <w:r w:rsidRPr="00401758">
        <w:rPr>
          <w:rFonts w:ascii="Source Sans Pro" w:eastAsia="Source Sans Pro Semibold" w:hAnsi="Source Sans Pro" w:cs="Times New Roman"/>
          <w:b/>
        </w:rPr>
        <w:t>GOAL 3: Advocating for evidence</w:t>
      </w:r>
    </w:p>
    <w:p w14:paraId="04ABA498" w14:textId="77777777" w:rsidR="00C87FB5" w:rsidRPr="00C87FB5" w:rsidRDefault="00C87FB5" w:rsidP="00C87FB5">
      <w:pPr>
        <w:spacing w:after="0" w:line="240" w:lineRule="auto"/>
        <w:rPr>
          <w:rFonts w:ascii="Source Sans Pro" w:eastAsia="Source Sans Pro Semibold" w:hAnsi="Source Sans Pro" w:cs="Times New Roman"/>
        </w:rPr>
      </w:pPr>
      <w:r w:rsidRPr="00C87FB5">
        <w:rPr>
          <w:rFonts w:ascii="Source Sans Pro" w:eastAsia="Source Sans Pro Semibold" w:hAnsi="Source Sans Pro" w:cs="Times New Roman"/>
        </w:rPr>
        <w:t>To make Cochrane the ‘home of evidence’ to inform health decision making,</w:t>
      </w:r>
      <w:r>
        <w:rPr>
          <w:rFonts w:ascii="Source Sans Pro" w:eastAsia="Source Sans Pro Semibold" w:hAnsi="Source Sans Pro" w:cs="Times New Roman"/>
        </w:rPr>
        <w:t xml:space="preserve"> </w:t>
      </w:r>
      <w:r w:rsidRPr="00C87FB5">
        <w:rPr>
          <w:rFonts w:ascii="Source Sans Pro" w:eastAsia="Source Sans Pro Semibold" w:hAnsi="Source Sans Pro" w:cs="Times New Roman"/>
        </w:rPr>
        <w:t xml:space="preserve">build greater recognition of our work, and </w:t>
      </w:r>
      <w:r w:rsidR="00401758">
        <w:rPr>
          <w:rFonts w:ascii="Source Sans Pro" w:eastAsia="Source Sans Pro Semibold" w:hAnsi="Source Sans Pro" w:cs="Times New Roman"/>
        </w:rPr>
        <w:t xml:space="preserve">become the leading advocate for </w:t>
      </w:r>
      <w:r w:rsidRPr="00C87FB5">
        <w:rPr>
          <w:rFonts w:ascii="Source Sans Pro" w:eastAsia="Source Sans Pro Semibold" w:hAnsi="Source Sans Pro" w:cs="Times New Roman"/>
        </w:rPr>
        <w:t>evidence-informed health care.</w:t>
      </w:r>
    </w:p>
    <w:p w14:paraId="47D615D0" w14:textId="77777777" w:rsidR="00C87FB5" w:rsidRDefault="00C87FB5" w:rsidP="00C87FB5">
      <w:pPr>
        <w:spacing w:after="0" w:line="240" w:lineRule="auto"/>
        <w:rPr>
          <w:rFonts w:ascii="Source Sans Pro" w:eastAsia="Source Sans Pro Semibold" w:hAnsi="Source Sans Pro" w:cs="Times New Roman"/>
        </w:rPr>
      </w:pPr>
    </w:p>
    <w:p w14:paraId="7B0FA80C" w14:textId="77777777" w:rsidR="00C87FB5" w:rsidRPr="00401758" w:rsidRDefault="00C87FB5" w:rsidP="00C87FB5">
      <w:pPr>
        <w:spacing w:after="0" w:line="240" w:lineRule="auto"/>
        <w:rPr>
          <w:rFonts w:ascii="Source Sans Pro" w:eastAsia="Source Sans Pro Semibold" w:hAnsi="Source Sans Pro" w:cs="Times New Roman"/>
          <w:b/>
        </w:rPr>
      </w:pPr>
      <w:r w:rsidRPr="00401758">
        <w:rPr>
          <w:rFonts w:ascii="Source Sans Pro" w:eastAsia="Source Sans Pro Semibold" w:hAnsi="Source Sans Pro" w:cs="Times New Roman"/>
          <w:b/>
        </w:rPr>
        <w:t>GOAL 4: Building an effective &amp; sustainable organisation</w:t>
      </w:r>
    </w:p>
    <w:p w14:paraId="22AECC3F" w14:textId="77777777" w:rsidR="00C87FB5" w:rsidRDefault="00C87FB5" w:rsidP="00C87FB5">
      <w:pPr>
        <w:spacing w:after="0" w:line="240" w:lineRule="auto"/>
        <w:rPr>
          <w:rFonts w:ascii="Source Sans Pro" w:eastAsia="Source Sans Pro Semibold" w:hAnsi="Source Sans Pro" w:cs="Times New Roman"/>
        </w:rPr>
      </w:pPr>
      <w:r w:rsidRPr="00C87FB5">
        <w:rPr>
          <w:rFonts w:ascii="Source Sans Pro" w:eastAsia="Source Sans Pro Semibold" w:hAnsi="Source Sans Pro" w:cs="Times New Roman"/>
        </w:rPr>
        <w:t>To be a diverse, inclusive and transparent international organisation that effectively</w:t>
      </w:r>
      <w:r>
        <w:rPr>
          <w:rFonts w:ascii="Source Sans Pro" w:eastAsia="Source Sans Pro Semibold" w:hAnsi="Source Sans Pro" w:cs="Times New Roman"/>
        </w:rPr>
        <w:t xml:space="preserve"> </w:t>
      </w:r>
      <w:r w:rsidRPr="00C87FB5">
        <w:rPr>
          <w:rFonts w:ascii="Source Sans Pro" w:eastAsia="Source Sans Pro Semibold" w:hAnsi="Source Sans Pro" w:cs="Times New Roman"/>
        </w:rPr>
        <w:t>harnesses the enthusiasm and skills of our contributors, is guided by our principles,</w:t>
      </w:r>
      <w:r>
        <w:rPr>
          <w:rFonts w:ascii="Source Sans Pro" w:eastAsia="Source Sans Pro Semibold" w:hAnsi="Source Sans Pro" w:cs="Times New Roman"/>
        </w:rPr>
        <w:t xml:space="preserve"> </w:t>
      </w:r>
      <w:r w:rsidRPr="00C87FB5">
        <w:rPr>
          <w:rFonts w:ascii="Source Sans Pro" w:eastAsia="Source Sans Pro Semibold" w:hAnsi="Source Sans Pro" w:cs="Times New Roman"/>
        </w:rPr>
        <w:t>governed accountably, managed efficiently and makes optimal use of its resources.</w:t>
      </w:r>
    </w:p>
    <w:p w14:paraId="26DE5857" w14:textId="77777777" w:rsidR="00C87FB5" w:rsidRDefault="00C87FB5" w:rsidP="00FA7F9F">
      <w:pPr>
        <w:spacing w:after="0" w:line="240" w:lineRule="auto"/>
        <w:rPr>
          <w:rFonts w:ascii="Source Sans Pro" w:eastAsia="Source Sans Pro Semibold" w:hAnsi="Source Sans Pro" w:cs="Times New Roman"/>
        </w:rPr>
      </w:pPr>
    </w:p>
    <w:p w14:paraId="3AEFD813" w14:textId="77777777" w:rsidR="00401758" w:rsidRDefault="00401758">
      <w:pPr>
        <w:rPr>
          <w:rFonts w:ascii="Source Sans Pro" w:eastAsia="Source Sans Pro Semibold" w:hAnsi="Source Sans Pro" w:cs="Times New Roman"/>
          <w:b/>
          <w:color w:val="002D64"/>
        </w:rPr>
      </w:pPr>
      <w:r>
        <w:rPr>
          <w:rFonts w:ascii="Source Sans Pro" w:eastAsia="Source Sans Pro Semibold" w:hAnsi="Source Sans Pro" w:cs="Times New Roman"/>
          <w:b/>
          <w:color w:val="002D64"/>
        </w:rPr>
        <w:br w:type="page"/>
      </w:r>
    </w:p>
    <w:p w14:paraId="1E411BE8" w14:textId="77777777" w:rsidR="00C87FB5" w:rsidRPr="00FD1FEB" w:rsidRDefault="00C87FB5" w:rsidP="00C87FB5">
      <w:pPr>
        <w:spacing w:after="0" w:line="240" w:lineRule="auto"/>
        <w:rPr>
          <w:rFonts w:ascii="Source Sans Pro" w:eastAsia="Source Sans Pro Semibold" w:hAnsi="Source Sans Pro" w:cs="Times New Roman"/>
          <w:b/>
          <w:color w:val="002D64"/>
        </w:rPr>
      </w:pPr>
      <w:r>
        <w:rPr>
          <w:rFonts w:ascii="Source Sans Pro" w:eastAsia="Source Sans Pro Semibold" w:hAnsi="Source Sans Pro" w:cs="Times New Roman"/>
          <w:b/>
          <w:color w:val="002D64"/>
        </w:rPr>
        <w:lastRenderedPageBreak/>
        <w:t xml:space="preserve">The </w:t>
      </w:r>
      <w:r w:rsidR="00401758">
        <w:rPr>
          <w:rFonts w:ascii="Source Sans Pro" w:eastAsia="Source Sans Pro Semibold" w:hAnsi="Source Sans Pro" w:cs="Times New Roman"/>
          <w:b/>
          <w:color w:val="002D64"/>
        </w:rPr>
        <w:t xml:space="preserve">Cochrane </w:t>
      </w:r>
      <w:r>
        <w:rPr>
          <w:rFonts w:ascii="Source Sans Pro" w:eastAsia="Source Sans Pro Semibold" w:hAnsi="Source Sans Pro" w:cs="Times New Roman"/>
          <w:b/>
          <w:color w:val="002D64"/>
        </w:rPr>
        <w:t>Consumer Network (CCNet)</w:t>
      </w:r>
    </w:p>
    <w:p w14:paraId="42D8664D" w14:textId="77777777" w:rsidR="00C87FB5" w:rsidRPr="00FD1FEB" w:rsidRDefault="00C87FB5" w:rsidP="00C87FB5">
      <w:pPr>
        <w:spacing w:after="0" w:line="240" w:lineRule="auto"/>
        <w:rPr>
          <w:rFonts w:ascii="Source Sans Pro" w:eastAsia="Source Sans Pro Semibold" w:hAnsi="Source Sans Pro" w:cs="Times New Roman"/>
          <w:b/>
          <w:color w:val="002D64"/>
        </w:rPr>
      </w:pPr>
    </w:p>
    <w:p w14:paraId="02D97BB5" w14:textId="77777777" w:rsidR="004949DE" w:rsidRDefault="00C87FB5" w:rsidP="00C87FB5">
      <w:pPr>
        <w:spacing w:after="0" w:line="240" w:lineRule="auto"/>
        <w:rPr>
          <w:rFonts w:ascii="Source Sans Pro" w:eastAsia="Source Sans Pro Semibold" w:hAnsi="Source Sans Pro" w:cs="Times New Roman"/>
        </w:rPr>
      </w:pPr>
      <w:r>
        <w:rPr>
          <w:rFonts w:ascii="Source Sans Pro" w:eastAsia="Source Sans Pro Semibold" w:hAnsi="Source Sans Pro" w:cs="Times New Roman"/>
        </w:rPr>
        <w:t xml:space="preserve">The Consumer Network is a body of patients, carers, family members, and others, who work to support </w:t>
      </w:r>
      <w:r w:rsidR="00D74C4D">
        <w:rPr>
          <w:rFonts w:ascii="Source Sans Pro" w:eastAsia="Source Sans Pro Semibold" w:hAnsi="Source Sans Pro" w:cs="Times New Roman"/>
        </w:rPr>
        <w:t xml:space="preserve">consumer </w:t>
      </w:r>
      <w:r>
        <w:rPr>
          <w:rFonts w:ascii="Source Sans Pro" w:eastAsia="Source Sans Pro Semibold" w:hAnsi="Source Sans Pro" w:cs="Times New Roman"/>
        </w:rPr>
        <w:t>engagement and involvement in the production of and dissemination of Cochrane evidence.</w:t>
      </w:r>
      <w:r w:rsidR="004949DE">
        <w:rPr>
          <w:rFonts w:ascii="Source Sans Pro" w:eastAsia="Source Sans Pro Semibold" w:hAnsi="Source Sans Pro" w:cs="Times New Roman"/>
        </w:rPr>
        <w:t xml:space="preserve"> Consumer </w:t>
      </w:r>
      <w:r w:rsidR="004949DE" w:rsidRPr="004949DE">
        <w:rPr>
          <w:rFonts w:ascii="Source Sans Pro" w:eastAsia="Source Sans Pro Semibold" w:hAnsi="Source Sans Pro" w:cs="Times New Roman"/>
        </w:rPr>
        <w:t>involvement</w:t>
      </w:r>
      <w:r w:rsidR="004949DE">
        <w:rPr>
          <w:rFonts w:ascii="Source Sans Pro" w:eastAsia="Source Sans Pro Semibold" w:hAnsi="Source Sans Pro" w:cs="Times New Roman"/>
        </w:rPr>
        <w:t xml:space="preserve"> in research can be defined as “</w:t>
      </w:r>
      <w:r w:rsidR="004949DE" w:rsidRPr="004949DE">
        <w:rPr>
          <w:rFonts w:ascii="Source Sans Pro" w:eastAsia="Source Sans Pro Semibold" w:hAnsi="Source Sans Pro" w:cs="Times New Roman"/>
        </w:rPr>
        <w:t>research being carried out ‘with’ or ‘b</w:t>
      </w:r>
      <w:r w:rsidR="004949DE">
        <w:rPr>
          <w:rFonts w:ascii="Source Sans Pro" w:eastAsia="Source Sans Pro Semibold" w:hAnsi="Source Sans Pro" w:cs="Times New Roman"/>
        </w:rPr>
        <w:t>y’ members of the public” (</w:t>
      </w:r>
      <w:hyperlink r:id="rId10" w:history="1">
        <w:r w:rsidR="004949DE" w:rsidRPr="00865DEC">
          <w:rPr>
            <w:rStyle w:val="Hyperlink"/>
            <w:rFonts w:ascii="Source Sans Pro" w:eastAsia="Source Sans Pro Semibold" w:hAnsi="Source Sans Pro" w:cs="Times New Roman"/>
          </w:rPr>
          <w:t>http://www.invo.org.uk/</w:t>
        </w:r>
      </w:hyperlink>
      <w:r w:rsidR="004949DE">
        <w:rPr>
          <w:rFonts w:ascii="Source Sans Pro" w:eastAsia="Source Sans Pro Semibold" w:hAnsi="Source Sans Pro" w:cs="Times New Roman"/>
        </w:rPr>
        <w:t xml:space="preserve">). Cochrane consumers </w:t>
      </w:r>
      <w:r w:rsidR="00763DA6">
        <w:rPr>
          <w:rFonts w:ascii="Source Sans Pro" w:eastAsia="Source Sans Pro Semibold" w:hAnsi="Source Sans Pro" w:cs="Times New Roman"/>
        </w:rPr>
        <w:t>are also actively engaged in knowledge transfer ensuring that</w:t>
      </w:r>
      <w:r w:rsidR="004949DE">
        <w:t xml:space="preserve"> information and knowledge about research</w:t>
      </w:r>
      <w:r w:rsidR="00763DA6">
        <w:t xml:space="preserve"> and the results</w:t>
      </w:r>
      <w:r w:rsidR="004949DE">
        <w:t xml:space="preserve"> is provided and disseminated</w:t>
      </w:r>
      <w:r w:rsidR="00763DA6">
        <w:t xml:space="preserve"> to the broader public</w:t>
      </w:r>
      <w:r w:rsidR="004949DE">
        <w:t>.</w:t>
      </w:r>
    </w:p>
    <w:p w14:paraId="6C6B7929" w14:textId="77777777" w:rsidR="004949DE" w:rsidRDefault="004949DE" w:rsidP="00C87FB5">
      <w:pPr>
        <w:spacing w:after="0" w:line="240" w:lineRule="auto"/>
        <w:rPr>
          <w:rFonts w:ascii="Source Sans Pro" w:eastAsia="Source Sans Pro Semibold" w:hAnsi="Source Sans Pro" w:cs="Times New Roman"/>
        </w:rPr>
      </w:pPr>
    </w:p>
    <w:p w14:paraId="721412C1" w14:textId="77777777" w:rsidR="000A3880" w:rsidRPr="00FD1FEB" w:rsidRDefault="000A3880" w:rsidP="00FA7F9F">
      <w:pPr>
        <w:spacing w:after="0" w:line="240" w:lineRule="auto"/>
        <w:rPr>
          <w:rFonts w:ascii="Source Sans Pro" w:eastAsia="Source Sans Pro Semibold" w:hAnsi="Source Sans Pro" w:cs="Times New Roman"/>
        </w:rPr>
      </w:pPr>
      <w:r w:rsidRPr="00FD1FEB">
        <w:rPr>
          <w:rFonts w:ascii="Source Sans Pro" w:eastAsia="Source Sans Pro Semibold" w:hAnsi="Source Sans Pro" w:cs="Times New Roman"/>
        </w:rPr>
        <w:t>The current key aims of the Consumer Network are:</w:t>
      </w:r>
    </w:p>
    <w:p w14:paraId="0720666F" w14:textId="77777777" w:rsidR="000A3880" w:rsidRPr="00FD1FEB" w:rsidRDefault="000A3880" w:rsidP="00FA7F9F">
      <w:pPr>
        <w:spacing w:after="0" w:line="240" w:lineRule="auto"/>
        <w:rPr>
          <w:rFonts w:ascii="Source Sans Pro" w:eastAsia="Source Sans Pro Semibold" w:hAnsi="Source Sans Pro" w:cs="Times New Roman"/>
          <w:lang w:val="en-CA"/>
        </w:rPr>
      </w:pPr>
    </w:p>
    <w:p w14:paraId="01066E98" w14:textId="77777777" w:rsidR="000A3880" w:rsidRPr="00FD1FEB" w:rsidRDefault="000A3880" w:rsidP="00FD1FEB">
      <w:pPr>
        <w:spacing w:after="0" w:line="240" w:lineRule="auto"/>
        <w:ind w:left="720"/>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1.  To support Cochrane </w:t>
      </w:r>
      <w:r w:rsidR="00631C0A" w:rsidRPr="00FD1FEB">
        <w:rPr>
          <w:rFonts w:ascii="Source Sans Pro" w:eastAsia="Source Sans Pro Semibold" w:hAnsi="Source Sans Pro" w:cs="Times New Roman"/>
          <w:lang w:val="en-CA"/>
        </w:rPr>
        <w:t>groups</w:t>
      </w:r>
      <w:r w:rsidRPr="00FD1FEB">
        <w:rPr>
          <w:rFonts w:ascii="Source Sans Pro" w:eastAsia="Source Sans Pro Semibold" w:hAnsi="Source Sans Pro" w:cs="Times New Roman"/>
          <w:lang w:val="en-CA"/>
        </w:rPr>
        <w:t xml:space="preserve"> in the inclusion of consumers </w:t>
      </w:r>
    </w:p>
    <w:p w14:paraId="6ECD6E85" w14:textId="77777777" w:rsidR="000A3880" w:rsidRPr="00FD1FEB" w:rsidRDefault="000A3880" w:rsidP="00FD1FEB">
      <w:pPr>
        <w:spacing w:after="0" w:line="240" w:lineRule="auto"/>
        <w:ind w:left="720"/>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2. To support </w:t>
      </w:r>
      <w:r w:rsidR="00631C0A" w:rsidRPr="00FD1FEB">
        <w:rPr>
          <w:rFonts w:ascii="Source Sans Pro" w:eastAsia="Source Sans Pro Semibold" w:hAnsi="Source Sans Pro" w:cs="Times New Roman"/>
          <w:lang w:val="en-CA"/>
        </w:rPr>
        <w:t>consumer participation in</w:t>
      </w:r>
      <w:r w:rsidR="00763DA6">
        <w:rPr>
          <w:rFonts w:ascii="Source Sans Pro" w:eastAsia="Source Sans Pro Semibold" w:hAnsi="Source Sans Pro" w:cs="Times New Roman"/>
          <w:lang w:val="en-CA"/>
        </w:rPr>
        <w:t xml:space="preserve"> all areas of</w:t>
      </w:r>
      <w:r w:rsidR="00631C0A" w:rsidRPr="00FD1FEB">
        <w:rPr>
          <w:rFonts w:ascii="Source Sans Pro" w:eastAsia="Source Sans Pro Semibold" w:hAnsi="Source Sans Pro" w:cs="Times New Roman"/>
          <w:lang w:val="en-CA"/>
        </w:rPr>
        <w:t xml:space="preserve"> Cochrane</w:t>
      </w:r>
      <w:r w:rsidRPr="00FD1FEB">
        <w:rPr>
          <w:rFonts w:ascii="Source Sans Pro" w:eastAsia="Source Sans Pro Semibold" w:hAnsi="Source Sans Pro" w:cs="Times New Roman"/>
          <w:lang w:val="en-CA"/>
        </w:rPr>
        <w:t> </w:t>
      </w:r>
    </w:p>
    <w:p w14:paraId="5A15D216" w14:textId="77777777" w:rsidR="000A3880" w:rsidRPr="00FD1FEB" w:rsidRDefault="000A3880" w:rsidP="00FD1FEB">
      <w:pPr>
        <w:spacing w:after="0" w:line="240" w:lineRule="auto"/>
        <w:ind w:left="720"/>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3. To increase consumer membership in low </w:t>
      </w:r>
      <w:r w:rsidR="00763DA6">
        <w:rPr>
          <w:rFonts w:ascii="Source Sans Pro" w:eastAsia="Source Sans Pro Semibold" w:hAnsi="Source Sans Pro" w:cs="Times New Roman"/>
          <w:lang w:val="en-CA"/>
        </w:rPr>
        <w:t>and middle</w:t>
      </w:r>
      <w:r w:rsidR="001136B4">
        <w:rPr>
          <w:rFonts w:ascii="Source Sans Pro" w:eastAsia="Source Sans Pro Semibold" w:hAnsi="Source Sans Pro" w:cs="Times New Roman"/>
          <w:lang w:val="en-CA"/>
        </w:rPr>
        <w:t>-</w:t>
      </w:r>
      <w:r w:rsidRPr="00FD1FEB">
        <w:rPr>
          <w:rFonts w:ascii="Source Sans Pro" w:eastAsia="Source Sans Pro Semibold" w:hAnsi="Source Sans Pro" w:cs="Times New Roman"/>
          <w:lang w:val="en-CA"/>
        </w:rPr>
        <w:t>income countries and non-English speaking countries </w:t>
      </w:r>
    </w:p>
    <w:p w14:paraId="12297F6B" w14:textId="77777777" w:rsidR="000A3880" w:rsidRPr="00FD1FEB" w:rsidRDefault="000A3880" w:rsidP="00FD1FEB">
      <w:pPr>
        <w:spacing w:after="0" w:line="240" w:lineRule="auto"/>
        <w:ind w:left="720"/>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4. To increase </w:t>
      </w:r>
      <w:r w:rsidR="001136B4">
        <w:rPr>
          <w:rFonts w:ascii="Source Sans Pro" w:eastAsia="Source Sans Pro Semibold" w:hAnsi="Source Sans Pro" w:cs="Times New Roman"/>
          <w:lang w:val="en-CA"/>
        </w:rPr>
        <w:t xml:space="preserve">consumer </w:t>
      </w:r>
      <w:r w:rsidRPr="00FD1FEB">
        <w:rPr>
          <w:rFonts w:ascii="Source Sans Pro" w:eastAsia="Source Sans Pro Semibold" w:hAnsi="Source Sans Pro" w:cs="Times New Roman"/>
          <w:lang w:val="en-CA"/>
        </w:rPr>
        <w:t xml:space="preserve">awareness of Cochrane reviews </w:t>
      </w:r>
      <w:r w:rsidR="00631C0A" w:rsidRPr="00FD1FEB">
        <w:rPr>
          <w:rFonts w:ascii="Source Sans Pro" w:eastAsia="Source Sans Pro Semibold" w:hAnsi="Source Sans Pro" w:cs="Times New Roman"/>
          <w:lang w:val="en-CA"/>
        </w:rPr>
        <w:t>worldwide</w:t>
      </w:r>
    </w:p>
    <w:p w14:paraId="5D09F526" w14:textId="77777777" w:rsidR="000A3880" w:rsidRDefault="000A3880" w:rsidP="00FD1FEB">
      <w:pPr>
        <w:spacing w:after="0" w:line="240" w:lineRule="auto"/>
        <w:ind w:left="720"/>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5. To develop and disseminate </w:t>
      </w:r>
      <w:r w:rsidR="001136B4">
        <w:rPr>
          <w:rFonts w:ascii="Source Sans Pro" w:eastAsia="Source Sans Pro Semibold" w:hAnsi="Source Sans Pro" w:cs="Times New Roman"/>
          <w:lang w:val="en-CA"/>
        </w:rPr>
        <w:t xml:space="preserve">Cochrane </w:t>
      </w:r>
      <w:r w:rsidR="00D05D26">
        <w:rPr>
          <w:rFonts w:ascii="Source Sans Pro" w:eastAsia="Source Sans Pro Semibold" w:hAnsi="Source Sans Pro" w:cs="Times New Roman"/>
          <w:lang w:val="en-CA"/>
        </w:rPr>
        <w:t>evidence</w:t>
      </w:r>
      <w:r w:rsidR="00D05D26" w:rsidRPr="00FD1FEB">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 xml:space="preserve">for consumers  </w:t>
      </w:r>
    </w:p>
    <w:p w14:paraId="620EA55E" w14:textId="77777777" w:rsidR="004949DE" w:rsidRDefault="004949DE" w:rsidP="00FD1FEB">
      <w:pPr>
        <w:spacing w:after="0" w:line="240" w:lineRule="auto"/>
        <w:ind w:left="720"/>
        <w:rPr>
          <w:rFonts w:ascii="Source Sans Pro" w:eastAsia="Source Sans Pro Semibold" w:hAnsi="Source Sans Pro" w:cs="Times New Roman"/>
          <w:lang w:val="en-CA"/>
        </w:rPr>
      </w:pPr>
    </w:p>
    <w:p w14:paraId="66EAFCEF" w14:textId="77777777" w:rsidR="004949DE" w:rsidRPr="00FD1FEB" w:rsidRDefault="004949DE" w:rsidP="004949DE">
      <w:pPr>
        <w:tabs>
          <w:tab w:val="left" w:pos="720"/>
        </w:tabs>
        <w:spacing w:after="0" w:line="240" w:lineRule="auto"/>
        <w:rPr>
          <w:rFonts w:ascii="Source Sans Pro" w:eastAsia="Source Sans Pro Semibold" w:hAnsi="Source Sans Pro" w:cs="Times New Roman"/>
          <w:lang w:val="en-CA"/>
        </w:rPr>
      </w:pPr>
      <w:r>
        <w:rPr>
          <w:rFonts w:ascii="Source Sans Pro" w:eastAsia="Source Sans Pro Semibold" w:hAnsi="Source Sans Pro" w:cs="Times New Roman"/>
          <w:lang w:val="en-CA"/>
        </w:rPr>
        <w:t xml:space="preserve">More information about the Consumer Network can be found at </w:t>
      </w:r>
      <w:r w:rsidRPr="004949DE">
        <w:rPr>
          <w:rFonts w:ascii="Source Sans Pro" w:eastAsia="Source Sans Pro Semibold" w:hAnsi="Source Sans Pro" w:cs="Times New Roman"/>
          <w:lang w:val="en-CA"/>
        </w:rPr>
        <w:t>http://consumers.cochrane.org/</w:t>
      </w:r>
    </w:p>
    <w:p w14:paraId="5FF64B58" w14:textId="77777777" w:rsidR="00C87FB5" w:rsidRDefault="00C87FB5" w:rsidP="00C87FB5">
      <w:pPr>
        <w:spacing w:after="0" w:line="240" w:lineRule="auto"/>
        <w:rPr>
          <w:rFonts w:ascii="Source Sans Pro" w:eastAsia="Source Sans Pro Semibold" w:hAnsi="Source Sans Pro" w:cs="Times New Roman"/>
        </w:rPr>
      </w:pPr>
    </w:p>
    <w:p w14:paraId="06B545BD" w14:textId="77777777" w:rsidR="004949DE" w:rsidRDefault="004949DE" w:rsidP="004949DE">
      <w:pPr>
        <w:spacing w:after="0" w:line="240" w:lineRule="auto"/>
        <w:rPr>
          <w:rFonts w:ascii="Source Sans Pro" w:eastAsia="Source Sans Pro Semibold" w:hAnsi="Source Sans Pro" w:cs="Times New Roman"/>
          <w:b/>
          <w:color w:val="002D64"/>
        </w:rPr>
      </w:pPr>
      <w:r w:rsidRPr="004949DE">
        <w:rPr>
          <w:rFonts w:ascii="Source Sans Pro" w:eastAsia="Source Sans Pro Semibold" w:hAnsi="Source Sans Pro" w:cs="Times New Roman"/>
          <w:b/>
          <w:color w:val="002D64"/>
        </w:rPr>
        <w:t>Cochrane Consumers Structure and Function Review’s (SFR)</w:t>
      </w:r>
    </w:p>
    <w:p w14:paraId="7341242C" w14:textId="77777777" w:rsidR="004949DE" w:rsidRPr="004949DE" w:rsidRDefault="004949DE" w:rsidP="004949DE">
      <w:pPr>
        <w:spacing w:after="0" w:line="240" w:lineRule="auto"/>
        <w:rPr>
          <w:rFonts w:ascii="Source Sans Pro" w:eastAsia="Source Sans Pro Semibold" w:hAnsi="Source Sans Pro" w:cs="Times New Roman"/>
          <w:b/>
          <w:color w:val="002D64"/>
        </w:rPr>
      </w:pPr>
    </w:p>
    <w:p w14:paraId="251594E3" w14:textId="11DA6266" w:rsidR="000A3880" w:rsidRPr="00FD1FEB" w:rsidRDefault="004949DE" w:rsidP="00FA7F9F">
      <w:pPr>
        <w:spacing w:after="227" w:line="280" w:lineRule="exact"/>
        <w:rPr>
          <w:rFonts w:ascii="Source Sans Pro" w:eastAsia="Source Sans Pro Semibold" w:hAnsi="Source Sans Pro" w:cs="Times New Roman"/>
          <w:lang w:val="en-CA"/>
        </w:rPr>
      </w:pPr>
      <w:r w:rsidRPr="00FD1FEB">
        <w:rPr>
          <w:rFonts w:ascii="Source Sans Pro Semibold" w:eastAsia="Source Sans Pro Semibold" w:hAnsi="Source Sans Pro Semibold" w:cs="Times New Roman"/>
          <w:lang w:val="en-CA"/>
        </w:rPr>
        <w:t>The Cochrane Consumers Structure and Function Review’s (SFR) was undertaken in 2015 to evaluate how well the</w:t>
      </w:r>
      <w:r w:rsidR="00E74F64">
        <w:rPr>
          <w:rFonts w:ascii="Source Sans Pro Semibold" w:eastAsia="Source Sans Pro Semibold" w:hAnsi="Source Sans Pro Semibold" w:cs="Times New Roman"/>
          <w:lang w:val="en-CA"/>
        </w:rPr>
        <w:t xml:space="preserve"> network </w:t>
      </w:r>
      <w:r w:rsidRPr="00FD1FEB">
        <w:rPr>
          <w:rFonts w:ascii="Source Sans Pro Semibold" w:eastAsia="Source Sans Pro Semibold" w:hAnsi="Source Sans Pro Semibold" w:cs="Times New Roman"/>
          <w:lang w:val="en-CA"/>
        </w:rPr>
        <w:t xml:space="preserve"> functions and structures supported the strategic goals of Cochrane, as outlined in Strategy to 2020</w:t>
      </w:r>
      <w:r w:rsidR="00D04A88">
        <w:rPr>
          <w:rFonts w:ascii="Source Sans Pro Semibold" w:eastAsia="Source Sans Pro Semibold" w:hAnsi="Source Sans Pro Semibold" w:cs="Times New Roman"/>
          <w:lang w:val="en-CA"/>
        </w:rPr>
        <w:t xml:space="preserve">. </w:t>
      </w:r>
      <w:r w:rsidR="009057C1" w:rsidRPr="00FD1FEB">
        <w:rPr>
          <w:rFonts w:ascii="Source Sans Pro" w:eastAsia="Source Sans Pro Semibold" w:hAnsi="Source Sans Pro" w:cs="Times New Roman"/>
          <w:lang w:val="en-CA"/>
        </w:rPr>
        <w:t>The review looked</w:t>
      </w:r>
      <w:r w:rsidR="000A3880" w:rsidRPr="00FD1FEB">
        <w:rPr>
          <w:rFonts w:ascii="Source Sans Pro" w:eastAsia="Source Sans Pro Semibold" w:hAnsi="Source Sans Pro" w:cs="Times New Roman"/>
          <w:lang w:val="en-CA"/>
        </w:rPr>
        <w:t xml:space="preserve"> at key aspects of the</w:t>
      </w:r>
      <w:r w:rsidR="00617194" w:rsidRPr="00FD1FEB">
        <w:rPr>
          <w:rFonts w:ascii="Source Sans Pro" w:eastAsia="Source Sans Pro Semibold" w:hAnsi="Source Sans Pro" w:cs="Times New Roman"/>
          <w:lang w:val="en-CA"/>
        </w:rPr>
        <w:t xml:space="preserve"> Consumer Network</w:t>
      </w:r>
      <w:r w:rsidR="00E74F64">
        <w:rPr>
          <w:rFonts w:ascii="Source Sans Pro" w:eastAsia="Source Sans Pro Semibold" w:hAnsi="Source Sans Pro" w:cs="Times New Roman"/>
          <w:lang w:val="en-CA"/>
        </w:rPr>
        <w:t>,</w:t>
      </w:r>
      <w:r w:rsidR="00617194" w:rsidRPr="00FD1FEB">
        <w:rPr>
          <w:rFonts w:ascii="Source Sans Pro" w:eastAsia="Source Sans Pro Semibold" w:hAnsi="Source Sans Pro" w:cs="Times New Roman"/>
          <w:lang w:val="en-CA"/>
        </w:rPr>
        <w:t xml:space="preserve"> in particular</w:t>
      </w:r>
      <w:r w:rsidR="000A3880" w:rsidRPr="00FD1FEB">
        <w:rPr>
          <w:rFonts w:ascii="Source Sans Pro" w:eastAsia="Source Sans Pro Semibold" w:hAnsi="Source Sans Pro" w:cs="Times New Roman"/>
          <w:lang w:val="en-CA"/>
        </w:rPr>
        <w:t>:</w:t>
      </w:r>
    </w:p>
    <w:p w14:paraId="47FD8754" w14:textId="77777777" w:rsidR="00D04A88"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 xml:space="preserve">The extent and nature of consumer involvement in the production and dissemination </w:t>
      </w:r>
      <w:r w:rsidRPr="00461E7A">
        <w:rPr>
          <w:rFonts w:ascii="Source Sans Pro" w:eastAsia="Times New Roman" w:hAnsi="Source Sans Pro" w:cs="Times New Roman"/>
          <w:color w:val="000000"/>
          <w:lang w:eastAsia="en-GB"/>
        </w:rPr>
        <w:t>(including knowledge translation and knowledge mobilisation)</w:t>
      </w:r>
      <w:r w:rsidRPr="00461E7A">
        <w:rPr>
          <w:rFonts w:ascii="Source Sans Pro" w:eastAsia="Source Sans Pro Semibold" w:hAnsi="Source Sans Pro" w:cs="Times New Roman"/>
          <w:lang w:val="en-CA"/>
        </w:rPr>
        <w:t xml:space="preserve"> of Cochrane systematic reviews</w:t>
      </w:r>
    </w:p>
    <w:p w14:paraId="643D8A90" w14:textId="77777777" w:rsidR="000A3880"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 xml:space="preserve">Strengths and weaknesses of different models of consumer participation in the production of reviews </w:t>
      </w:r>
    </w:p>
    <w:p w14:paraId="27F9A97B" w14:textId="77777777" w:rsidR="000A3880"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The consumer role</w:t>
      </w:r>
      <w:r w:rsidR="00E74F64">
        <w:rPr>
          <w:rFonts w:ascii="Source Sans Pro" w:eastAsia="Source Sans Pro Semibold" w:hAnsi="Source Sans Pro" w:cs="Times New Roman"/>
          <w:lang w:val="en-CA"/>
        </w:rPr>
        <w:t>s</w:t>
      </w:r>
      <w:r w:rsidRPr="00461E7A">
        <w:rPr>
          <w:rFonts w:ascii="Source Sans Pro" w:eastAsia="Source Sans Pro Semibold" w:hAnsi="Source Sans Pro" w:cs="Times New Roman"/>
          <w:lang w:val="en-CA"/>
        </w:rPr>
        <w:t xml:space="preserve"> in the dissemination of reviews</w:t>
      </w:r>
    </w:p>
    <w:p w14:paraId="2FE78E21" w14:textId="77777777" w:rsidR="000A3880"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Pathways for involvement in the Consumer Network</w:t>
      </w:r>
    </w:p>
    <w:p w14:paraId="6144558A" w14:textId="7C1C87B1" w:rsidR="000A3880"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Support and training available to consumers</w:t>
      </w:r>
    </w:p>
    <w:p w14:paraId="159268E6" w14:textId="77777777" w:rsidR="000A3880" w:rsidRPr="00461E7A" w:rsidRDefault="000A3880" w:rsidP="00461E7A">
      <w:pPr>
        <w:pStyle w:val="ListParagraph"/>
        <w:numPr>
          <w:ilvl w:val="0"/>
          <w:numId w:val="16"/>
        </w:numPr>
        <w:spacing w:after="0" w:line="240" w:lineRule="auto"/>
        <w:rPr>
          <w:rFonts w:ascii="Source Sans Pro" w:eastAsia="Source Sans Pro Semibold" w:hAnsi="Source Sans Pro" w:cs="Times New Roman"/>
          <w:lang w:val="en-CA"/>
        </w:rPr>
      </w:pPr>
      <w:r w:rsidRPr="00461E7A">
        <w:rPr>
          <w:rFonts w:ascii="Source Sans Pro" w:eastAsia="Source Sans Pro Semibold" w:hAnsi="Source Sans Pro" w:cs="Times New Roman"/>
          <w:lang w:val="en-CA"/>
        </w:rPr>
        <w:t>Priorities for the future development and support of increased consumer involvement in Cochrane reviews</w:t>
      </w:r>
    </w:p>
    <w:p w14:paraId="2CCF0A42" w14:textId="77777777" w:rsidR="000A3880" w:rsidRPr="00FD1FEB" w:rsidRDefault="000A3880" w:rsidP="00FA7F9F">
      <w:pPr>
        <w:spacing w:after="0" w:line="280" w:lineRule="exact"/>
        <w:rPr>
          <w:rFonts w:ascii="Source Sans Pro" w:eastAsia="Source Sans Pro Semibold" w:hAnsi="Source Sans Pro" w:cs="Times New Roman"/>
          <w:lang w:val="en-CA"/>
        </w:rPr>
      </w:pPr>
    </w:p>
    <w:p w14:paraId="1DC9637D" w14:textId="77777777" w:rsidR="000A3880" w:rsidRPr="00FD1FEB" w:rsidRDefault="00BC63D3" w:rsidP="00FA7F9F">
      <w:pPr>
        <w:spacing w:after="227" w:line="280" w:lineRule="exact"/>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Secondly, t</w:t>
      </w:r>
      <w:r w:rsidR="000A3880" w:rsidRPr="00FD1FEB">
        <w:rPr>
          <w:rFonts w:ascii="Source Sans Pro" w:eastAsia="Source Sans Pro Semibold" w:hAnsi="Source Sans Pro" w:cs="Times New Roman"/>
          <w:lang w:val="en-CA"/>
        </w:rPr>
        <w:t>he review:</w:t>
      </w:r>
    </w:p>
    <w:p w14:paraId="51FA8043" w14:textId="77777777" w:rsidR="000A3880" w:rsidRPr="00FD1FEB" w:rsidRDefault="000A3880" w:rsidP="00FA7F9F">
      <w:pPr>
        <w:numPr>
          <w:ilvl w:val="0"/>
          <w:numId w:val="4"/>
        </w:numPr>
        <w:spacing w:after="0" w:line="240" w:lineRule="auto"/>
        <w:ind w:left="714" w:hanging="357"/>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Identifie</w:t>
      </w:r>
      <w:r w:rsidR="00617194" w:rsidRPr="00FD1FEB">
        <w:rPr>
          <w:rFonts w:ascii="Source Sans Pro" w:eastAsia="Source Sans Pro Semibold" w:hAnsi="Source Sans Pro" w:cs="Times New Roman"/>
          <w:lang w:val="en-CA"/>
        </w:rPr>
        <w:t>d</w:t>
      </w:r>
      <w:r w:rsidRPr="00FD1FEB">
        <w:rPr>
          <w:rFonts w:ascii="Source Sans Pro" w:eastAsia="Source Sans Pro Semibold" w:hAnsi="Source Sans Pro" w:cs="Times New Roman"/>
          <w:lang w:val="en-CA"/>
        </w:rPr>
        <w:t xml:space="preserve"> the existing roles, functions and structures of the Consumer Network</w:t>
      </w:r>
    </w:p>
    <w:p w14:paraId="1217599E" w14:textId="77777777" w:rsidR="000A3880" w:rsidRPr="00FD1FEB" w:rsidRDefault="000A3880" w:rsidP="00FA7F9F">
      <w:pPr>
        <w:numPr>
          <w:ilvl w:val="0"/>
          <w:numId w:val="4"/>
        </w:numPr>
        <w:spacing w:after="0" w:line="240" w:lineRule="auto"/>
        <w:ind w:left="714" w:hanging="357"/>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Examine</w:t>
      </w:r>
      <w:r w:rsidR="00617194" w:rsidRPr="00FD1FEB">
        <w:rPr>
          <w:rFonts w:ascii="Source Sans Pro" w:eastAsia="Source Sans Pro Semibold" w:hAnsi="Source Sans Pro" w:cs="Times New Roman"/>
          <w:lang w:val="en-CA"/>
        </w:rPr>
        <w:t>d</w:t>
      </w:r>
      <w:r w:rsidRPr="00FD1FEB">
        <w:rPr>
          <w:rFonts w:ascii="Source Sans Pro" w:eastAsia="Source Sans Pro Semibold" w:hAnsi="Source Sans Pro" w:cs="Times New Roman"/>
          <w:lang w:val="en-CA"/>
        </w:rPr>
        <w:t xml:space="preserve"> its strengths and weaknesses</w:t>
      </w:r>
    </w:p>
    <w:p w14:paraId="24D5BC9F" w14:textId="77777777" w:rsidR="000A3880" w:rsidRPr="00FD1FEB" w:rsidRDefault="00CA6748" w:rsidP="00FA7F9F">
      <w:pPr>
        <w:numPr>
          <w:ilvl w:val="0"/>
          <w:numId w:val="4"/>
        </w:numPr>
        <w:spacing w:after="0" w:line="240" w:lineRule="auto"/>
        <w:ind w:left="714" w:hanging="357"/>
        <w:rPr>
          <w:rFonts w:ascii="Source Sans Pro" w:eastAsia="Source Sans Pro Semibold" w:hAnsi="Source Sans Pro" w:cs="Times New Roman"/>
          <w:lang w:val="en-CA"/>
        </w:rPr>
      </w:pPr>
      <w:r>
        <w:rPr>
          <w:rFonts w:ascii="Source Sans Pro" w:eastAsia="Source Sans Pro Semibold" w:hAnsi="Source Sans Pro" w:cs="Times New Roman"/>
          <w:lang w:val="en-CA"/>
        </w:rPr>
        <w:t xml:space="preserve">Put </w:t>
      </w:r>
      <w:r w:rsidR="000A3880" w:rsidRPr="00FD1FEB">
        <w:rPr>
          <w:rFonts w:ascii="Source Sans Pro" w:eastAsia="Source Sans Pro Semibold" w:hAnsi="Source Sans Pro" w:cs="Times New Roman"/>
          <w:lang w:val="en-CA"/>
        </w:rPr>
        <w:t xml:space="preserve">forward proposals for reform of the Network including </w:t>
      </w:r>
      <w:r>
        <w:rPr>
          <w:rFonts w:ascii="Source Sans Pro" w:eastAsia="Source Sans Pro Semibold" w:hAnsi="Source Sans Pro" w:cs="Times New Roman"/>
          <w:lang w:val="en-CA"/>
        </w:rPr>
        <w:t xml:space="preserve">the </w:t>
      </w:r>
      <w:r w:rsidR="000A3880" w:rsidRPr="00FD1FEB">
        <w:rPr>
          <w:rFonts w:ascii="Source Sans Pro" w:eastAsia="Source Sans Pro Semibold" w:hAnsi="Source Sans Pro" w:cs="Times New Roman"/>
          <w:lang w:val="en-CA"/>
        </w:rPr>
        <w:t>resource, training and personnel implications of different approaches.</w:t>
      </w:r>
    </w:p>
    <w:p w14:paraId="36B1D869" w14:textId="77777777" w:rsidR="00FA7F9F" w:rsidRPr="00FD1FEB" w:rsidRDefault="00FA7F9F" w:rsidP="00FA7F9F">
      <w:pPr>
        <w:spacing w:after="227" w:line="280" w:lineRule="exact"/>
        <w:rPr>
          <w:rFonts w:ascii="Source Sans Pro" w:eastAsia="Source Sans Pro Semibold" w:hAnsi="Source Sans Pro" w:cs="Times New Roman"/>
          <w:lang w:val="en-CA"/>
        </w:rPr>
      </w:pPr>
    </w:p>
    <w:p w14:paraId="5FC7F3E8" w14:textId="160E13D5" w:rsidR="004949DE" w:rsidRDefault="00EB08CE" w:rsidP="00FA7F9F">
      <w:pPr>
        <w:spacing w:after="227" w:line="280" w:lineRule="exact"/>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Completed in time for the Cochrane Steering Group </w:t>
      </w:r>
      <w:r w:rsidR="00CA6748">
        <w:rPr>
          <w:rFonts w:ascii="Source Sans Pro" w:eastAsia="Source Sans Pro Semibold" w:hAnsi="Source Sans Pro" w:cs="Times New Roman"/>
          <w:lang w:val="en-CA"/>
        </w:rPr>
        <w:t xml:space="preserve">meetings </w:t>
      </w:r>
      <w:r w:rsidRPr="00FD1FEB">
        <w:rPr>
          <w:rFonts w:ascii="Source Sans Pro" w:eastAsia="Source Sans Pro Semibold" w:hAnsi="Source Sans Pro" w:cs="Times New Roman"/>
          <w:lang w:val="en-CA"/>
        </w:rPr>
        <w:t xml:space="preserve">in </w:t>
      </w:r>
      <w:r w:rsidR="00241AA0">
        <w:rPr>
          <w:rFonts w:ascii="Source Sans Pro" w:eastAsia="Source Sans Pro Semibold" w:hAnsi="Source Sans Pro" w:cs="Times New Roman"/>
          <w:lang w:val="en-CA"/>
        </w:rPr>
        <w:t>Vienna</w:t>
      </w:r>
      <w:r w:rsidR="000C4380">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 xml:space="preserve">October 2015, the SFR concludes that Cochrane </w:t>
      </w:r>
      <w:r w:rsidR="00127451">
        <w:rPr>
          <w:rFonts w:ascii="Source Sans Pro" w:eastAsia="Source Sans Pro Semibold" w:hAnsi="Source Sans Pro" w:cs="Times New Roman"/>
          <w:lang w:val="en-CA"/>
        </w:rPr>
        <w:t>was one of the pioneers in</w:t>
      </w:r>
      <w:r w:rsidRPr="00FD1FEB">
        <w:rPr>
          <w:rFonts w:ascii="Source Sans Pro" w:eastAsia="Source Sans Pro Semibold" w:hAnsi="Source Sans Pro" w:cs="Times New Roman"/>
          <w:lang w:val="en-CA"/>
        </w:rPr>
        <w:t xml:space="preserve"> the involvement of consumers in research</w:t>
      </w:r>
      <w:r w:rsidR="00127451">
        <w:rPr>
          <w:rFonts w:ascii="Source Sans Pro" w:eastAsia="Source Sans Pro Semibold" w:hAnsi="Source Sans Pro" w:cs="Times New Roman"/>
          <w:lang w:val="en-CA"/>
        </w:rPr>
        <w:t>. C</w:t>
      </w:r>
      <w:r w:rsidR="00241AA0">
        <w:rPr>
          <w:rFonts w:ascii="Source Sans Pro" w:eastAsia="Source Sans Pro Semibold" w:hAnsi="Source Sans Pro" w:cs="Times New Roman"/>
          <w:lang w:val="en-CA"/>
        </w:rPr>
        <w:t xml:space="preserve">urrently </w:t>
      </w:r>
      <w:r w:rsidRPr="00FD1FEB">
        <w:rPr>
          <w:rFonts w:ascii="Source Sans Pro" w:eastAsia="Source Sans Pro Semibold" w:hAnsi="Source Sans Pro" w:cs="Times New Roman"/>
          <w:lang w:val="en-CA"/>
        </w:rPr>
        <w:t xml:space="preserve">there are over </w:t>
      </w:r>
      <w:r w:rsidR="00BA1CE2">
        <w:rPr>
          <w:rFonts w:ascii="Source Sans Pro" w:eastAsia="Source Sans Pro Semibold" w:hAnsi="Source Sans Pro" w:cs="Times New Roman"/>
          <w:lang w:val="en-CA"/>
        </w:rPr>
        <w:t>1400</w:t>
      </w:r>
      <w:r w:rsidR="00BA1CE2" w:rsidRPr="00FD1FEB">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Archie registered consumers, with an active core of between 3</w:t>
      </w:r>
      <w:r w:rsidR="00127451">
        <w:rPr>
          <w:rFonts w:ascii="Source Sans Pro" w:eastAsia="Source Sans Pro Semibold" w:hAnsi="Source Sans Pro" w:cs="Times New Roman"/>
          <w:lang w:val="en-CA"/>
        </w:rPr>
        <w:t>oo to</w:t>
      </w:r>
      <w:r w:rsidRPr="00FD1FEB">
        <w:rPr>
          <w:rFonts w:ascii="Source Sans Pro" w:eastAsia="Source Sans Pro Semibold" w:hAnsi="Source Sans Pro" w:cs="Times New Roman"/>
          <w:lang w:val="en-CA"/>
        </w:rPr>
        <w:t xml:space="preserve"> 500 regularly involved in the production </w:t>
      </w:r>
      <w:r w:rsidR="00241AA0">
        <w:rPr>
          <w:rFonts w:ascii="Source Sans Pro" w:eastAsia="Source Sans Pro Semibold" w:hAnsi="Source Sans Pro" w:cs="Times New Roman"/>
          <w:lang w:val="en-CA"/>
        </w:rPr>
        <w:t xml:space="preserve">and dissemination </w:t>
      </w:r>
      <w:r w:rsidRPr="00FD1FEB">
        <w:rPr>
          <w:rFonts w:ascii="Source Sans Pro" w:eastAsia="Source Sans Pro Semibold" w:hAnsi="Source Sans Pro" w:cs="Times New Roman"/>
          <w:lang w:val="en-CA"/>
        </w:rPr>
        <w:t xml:space="preserve">of </w:t>
      </w:r>
      <w:r w:rsidR="00127451">
        <w:rPr>
          <w:rFonts w:ascii="Source Sans Pro" w:eastAsia="Source Sans Pro Semibold" w:hAnsi="Source Sans Pro" w:cs="Times New Roman"/>
          <w:lang w:val="en-CA"/>
        </w:rPr>
        <w:t xml:space="preserve">Cochrane </w:t>
      </w:r>
      <w:r w:rsidRPr="00FD1FEB">
        <w:rPr>
          <w:rFonts w:ascii="Source Sans Pro" w:eastAsia="Source Sans Pro Semibold" w:hAnsi="Source Sans Pro" w:cs="Times New Roman"/>
          <w:lang w:val="en-CA"/>
        </w:rPr>
        <w:t>health evidence.</w:t>
      </w:r>
      <w:r w:rsidR="009057C1" w:rsidRPr="00FD1FEB">
        <w:rPr>
          <w:rFonts w:ascii="Source Sans Pro" w:eastAsia="Source Sans Pro Semibold" w:hAnsi="Source Sans Pro" w:cs="Times New Roman"/>
          <w:lang w:val="en-CA"/>
        </w:rPr>
        <w:t xml:space="preserve"> This is something to celebrate,</w:t>
      </w:r>
      <w:r w:rsidRPr="00FD1FEB">
        <w:rPr>
          <w:rFonts w:ascii="Source Sans Pro" w:eastAsia="Source Sans Pro Semibold" w:hAnsi="Source Sans Pro" w:cs="Times New Roman"/>
          <w:lang w:val="en-CA"/>
        </w:rPr>
        <w:t xml:space="preserve"> however practice across Cochrane varies and, with some notable exceptions, Cochrane</w:t>
      </w:r>
      <w:r w:rsidR="00127451">
        <w:rPr>
          <w:rFonts w:ascii="Source Sans Pro" w:eastAsia="Source Sans Pro Semibold" w:hAnsi="Source Sans Pro" w:cs="Times New Roman"/>
          <w:lang w:val="en-CA"/>
        </w:rPr>
        <w:t xml:space="preserve"> has not kept pace with the rest of the research world</w:t>
      </w:r>
      <w:r w:rsidRPr="00FD1FEB">
        <w:rPr>
          <w:rFonts w:ascii="Source Sans Pro" w:eastAsia="Source Sans Pro Semibold" w:hAnsi="Source Sans Pro" w:cs="Times New Roman"/>
          <w:lang w:val="en-CA"/>
        </w:rPr>
        <w:t xml:space="preserve">. </w:t>
      </w:r>
      <w:r w:rsidR="00241AA0">
        <w:rPr>
          <w:rFonts w:ascii="Source Sans Pro" w:eastAsia="Source Sans Pro Semibold" w:hAnsi="Source Sans Pro" w:cs="Times New Roman"/>
          <w:lang w:val="en-CA"/>
        </w:rPr>
        <w:t>Authors, r</w:t>
      </w:r>
      <w:r w:rsidRPr="00FD1FEB">
        <w:rPr>
          <w:rFonts w:ascii="Source Sans Pro" w:eastAsia="Source Sans Pro Semibold" w:hAnsi="Source Sans Pro" w:cs="Times New Roman"/>
          <w:lang w:val="en-CA"/>
        </w:rPr>
        <w:t xml:space="preserve">eview </w:t>
      </w:r>
      <w:r w:rsidR="000C4380">
        <w:rPr>
          <w:rFonts w:ascii="Source Sans Pro" w:eastAsia="Source Sans Pro Semibold" w:hAnsi="Source Sans Pro" w:cs="Times New Roman"/>
          <w:lang w:val="en-CA"/>
        </w:rPr>
        <w:t>g</w:t>
      </w:r>
      <w:r w:rsidRPr="00FD1FEB">
        <w:rPr>
          <w:rFonts w:ascii="Source Sans Pro" w:eastAsia="Source Sans Pro Semibold" w:hAnsi="Source Sans Pro" w:cs="Times New Roman"/>
          <w:lang w:val="en-CA"/>
        </w:rPr>
        <w:t>roups</w:t>
      </w:r>
      <w:r w:rsidR="00241AA0">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 xml:space="preserve">and consumers </w:t>
      </w:r>
      <w:r w:rsidR="00241AA0">
        <w:rPr>
          <w:rFonts w:ascii="Source Sans Pro" w:eastAsia="Source Sans Pro Semibold" w:hAnsi="Source Sans Pro" w:cs="Times New Roman"/>
          <w:lang w:val="en-CA"/>
        </w:rPr>
        <w:t xml:space="preserve">themselves </w:t>
      </w:r>
      <w:r w:rsidRPr="00FD1FEB">
        <w:rPr>
          <w:rFonts w:ascii="Source Sans Pro" w:eastAsia="Source Sans Pro Semibold" w:hAnsi="Source Sans Pro" w:cs="Times New Roman"/>
          <w:lang w:val="en-CA"/>
        </w:rPr>
        <w:t xml:space="preserve">are looking for support to develop </w:t>
      </w:r>
      <w:r w:rsidR="00241AA0">
        <w:rPr>
          <w:rFonts w:ascii="Source Sans Pro" w:eastAsia="Source Sans Pro Semibold" w:hAnsi="Source Sans Pro" w:cs="Times New Roman"/>
          <w:lang w:val="en-CA"/>
        </w:rPr>
        <w:t xml:space="preserve">good </w:t>
      </w:r>
      <w:r w:rsidRPr="00FD1FEB">
        <w:rPr>
          <w:rFonts w:ascii="Source Sans Pro" w:eastAsia="Source Sans Pro Semibold" w:hAnsi="Source Sans Pro" w:cs="Times New Roman"/>
          <w:lang w:val="en-CA"/>
        </w:rPr>
        <w:t xml:space="preserve">practice in involvement. The present organisational structures do not </w:t>
      </w:r>
      <w:r w:rsidR="00127451">
        <w:rPr>
          <w:rFonts w:ascii="Source Sans Pro" w:eastAsia="Source Sans Pro Semibold" w:hAnsi="Source Sans Pro" w:cs="Times New Roman"/>
          <w:lang w:val="en-CA"/>
        </w:rPr>
        <w:t xml:space="preserve">always </w:t>
      </w:r>
      <w:r w:rsidRPr="00FD1FEB">
        <w:rPr>
          <w:rFonts w:ascii="Source Sans Pro" w:eastAsia="Source Sans Pro Semibold" w:hAnsi="Source Sans Pro" w:cs="Times New Roman"/>
          <w:lang w:val="en-CA"/>
        </w:rPr>
        <w:t xml:space="preserve">facilitate effective consumer involvement </w:t>
      </w:r>
      <w:r w:rsidR="00127451">
        <w:rPr>
          <w:rFonts w:ascii="Source Sans Pro" w:eastAsia="Source Sans Pro Semibold" w:hAnsi="Source Sans Pro" w:cs="Times New Roman"/>
          <w:lang w:val="en-CA"/>
        </w:rPr>
        <w:t>so</w:t>
      </w:r>
      <w:r w:rsidRPr="00FD1FEB">
        <w:rPr>
          <w:rFonts w:ascii="Source Sans Pro" w:eastAsia="Source Sans Pro Semibold" w:hAnsi="Source Sans Pro" w:cs="Times New Roman"/>
          <w:lang w:val="en-CA"/>
        </w:rPr>
        <w:t xml:space="preserve"> changes to enhance in</w:t>
      </w:r>
      <w:r w:rsidR="0022237F">
        <w:rPr>
          <w:rFonts w:ascii="Source Sans Pro" w:eastAsia="Source Sans Pro Semibold" w:hAnsi="Source Sans Pro" w:cs="Times New Roman"/>
          <w:lang w:val="en-CA"/>
        </w:rPr>
        <w:t>volvement are suggested in the R</w:t>
      </w:r>
      <w:r w:rsidRPr="00FD1FEB">
        <w:rPr>
          <w:rFonts w:ascii="Source Sans Pro" w:eastAsia="Source Sans Pro Semibold" w:hAnsi="Source Sans Pro" w:cs="Times New Roman"/>
          <w:lang w:val="en-CA"/>
        </w:rPr>
        <w:t xml:space="preserve">eview. </w:t>
      </w:r>
    </w:p>
    <w:p w14:paraId="14E4FB3A" w14:textId="06E0F3F6" w:rsidR="00FD1FEB" w:rsidRPr="00FD1FEB" w:rsidRDefault="0022237F" w:rsidP="004949DE">
      <w:pPr>
        <w:spacing w:after="227" w:line="280" w:lineRule="exact"/>
        <w:rPr>
          <w:rFonts w:ascii="Source Sans Pro" w:eastAsia="Source Sans Pro Semibold" w:hAnsi="Source Sans Pro" w:cs="Times New Roman"/>
          <w:lang w:val="en-CA"/>
        </w:rPr>
        <w:sectPr w:rsidR="00FD1FEB" w:rsidRPr="00FD1FEB" w:rsidSect="00FD1FEB">
          <w:pgSz w:w="16838" w:h="11906" w:orient="landscape" w:code="9"/>
          <w:pgMar w:top="1134" w:right="1670" w:bottom="1134" w:left="851" w:header="680" w:footer="624" w:gutter="0"/>
          <w:cols w:space="28"/>
          <w:docGrid w:linePitch="360"/>
        </w:sectPr>
      </w:pPr>
      <w:r>
        <w:rPr>
          <w:rFonts w:ascii="Source Sans Pro" w:eastAsia="Source Sans Pro Semibold" w:hAnsi="Source Sans Pro" w:cs="Times New Roman"/>
          <w:lang w:val="en-CA"/>
        </w:rPr>
        <w:t xml:space="preserve">The key priorities </w:t>
      </w:r>
      <w:r w:rsidR="000C4380">
        <w:rPr>
          <w:rFonts w:ascii="Source Sans Pro" w:eastAsia="Source Sans Pro Semibold" w:hAnsi="Source Sans Pro" w:cs="Times New Roman"/>
          <w:lang w:val="en-CA"/>
        </w:rPr>
        <w:t>identified in</w:t>
      </w:r>
      <w:r w:rsidR="00241AA0">
        <w:rPr>
          <w:rFonts w:ascii="Source Sans Pro" w:eastAsia="Source Sans Pro Semibold" w:hAnsi="Source Sans Pro" w:cs="Times New Roman"/>
          <w:lang w:val="en-CA"/>
        </w:rPr>
        <w:t xml:space="preserve"> </w:t>
      </w:r>
      <w:r>
        <w:rPr>
          <w:rFonts w:ascii="Source Sans Pro" w:eastAsia="Source Sans Pro Semibold" w:hAnsi="Source Sans Pro" w:cs="Times New Roman"/>
          <w:lang w:val="en-CA"/>
        </w:rPr>
        <w:t>the SFR form the heart of this Delivery Plan. I</w:t>
      </w:r>
      <w:r w:rsidR="007351F6" w:rsidRPr="00FD1FEB">
        <w:rPr>
          <w:rFonts w:ascii="Source Sans Pro" w:eastAsia="Source Sans Pro Semibold" w:hAnsi="Source Sans Pro" w:cs="Times New Roman"/>
          <w:lang w:val="en-CA"/>
        </w:rPr>
        <w:t xml:space="preserve">n addition to the </w:t>
      </w:r>
      <w:r w:rsidR="00FB25DA">
        <w:rPr>
          <w:rFonts w:ascii="Source Sans Pro" w:eastAsia="Source Sans Pro Semibold" w:hAnsi="Source Sans Pro" w:cs="Times New Roman"/>
          <w:lang w:val="en-CA"/>
        </w:rPr>
        <w:t xml:space="preserve">priorities from the </w:t>
      </w:r>
      <w:r w:rsidR="007351F6" w:rsidRPr="00FD1FEB">
        <w:rPr>
          <w:rFonts w:ascii="Source Sans Pro" w:eastAsia="Source Sans Pro Semibold" w:hAnsi="Source Sans Pro" w:cs="Times New Roman"/>
          <w:lang w:val="en-CA"/>
        </w:rPr>
        <w:t>SFR</w:t>
      </w:r>
      <w:r w:rsidR="00FB25DA">
        <w:rPr>
          <w:rFonts w:ascii="Source Sans Pro" w:eastAsia="Source Sans Pro Semibold" w:hAnsi="Source Sans Pro" w:cs="Times New Roman"/>
          <w:lang w:val="en-CA"/>
        </w:rPr>
        <w:t>,</w:t>
      </w:r>
      <w:r w:rsidR="007351F6" w:rsidRPr="00FD1FEB">
        <w:rPr>
          <w:rFonts w:ascii="Source Sans Pro" w:eastAsia="Source Sans Pro Semibold" w:hAnsi="Source Sans Pro" w:cs="Times New Roman"/>
          <w:lang w:val="en-CA"/>
        </w:rPr>
        <w:t xml:space="preserve"> the Delivery Plan </w:t>
      </w:r>
      <w:r w:rsidR="00FD1FEB">
        <w:rPr>
          <w:rFonts w:ascii="Source Sans Pro" w:eastAsia="Source Sans Pro Semibold" w:hAnsi="Source Sans Pro" w:cs="Times New Roman"/>
          <w:lang w:val="en-CA"/>
        </w:rPr>
        <w:t>takes</w:t>
      </w:r>
      <w:r w:rsidR="007351F6" w:rsidRPr="00FD1FEB">
        <w:rPr>
          <w:rFonts w:ascii="Source Sans Pro" w:eastAsia="Source Sans Pro Semibold" w:hAnsi="Source Sans Pro" w:cs="Times New Roman"/>
          <w:lang w:val="en-CA"/>
        </w:rPr>
        <w:t xml:space="preserve"> in to account other key issues</w:t>
      </w:r>
      <w:r w:rsidR="00FB25DA">
        <w:rPr>
          <w:rFonts w:ascii="Source Sans Pro" w:eastAsia="Source Sans Pro Semibold" w:hAnsi="Source Sans Pro" w:cs="Times New Roman"/>
          <w:lang w:val="en-CA"/>
        </w:rPr>
        <w:t xml:space="preserve"> and opportunities facing</w:t>
      </w:r>
      <w:r w:rsidR="00FD1FEB">
        <w:rPr>
          <w:rFonts w:ascii="Source Sans Pro" w:eastAsia="Source Sans Pro Semibold" w:hAnsi="Source Sans Pro" w:cs="Times New Roman"/>
          <w:lang w:val="en-CA"/>
        </w:rPr>
        <w:t xml:space="preserve"> Cochrane</w:t>
      </w:r>
      <w:r w:rsidR="00FB25DA">
        <w:rPr>
          <w:rFonts w:ascii="Source Sans Pro" w:eastAsia="Source Sans Pro Semibold" w:hAnsi="Source Sans Pro" w:cs="Times New Roman"/>
          <w:lang w:val="en-CA"/>
        </w:rPr>
        <w:t xml:space="preserve">. The Delivery Plan sets out its priorities </w:t>
      </w:r>
      <w:r w:rsidR="00FD1FEB" w:rsidRPr="00FD1FEB">
        <w:rPr>
          <w:rFonts w:ascii="Source Sans Pro" w:eastAsia="Source Sans Pro Semibold" w:hAnsi="Source Sans Pro" w:cs="Times New Roman"/>
          <w:lang w:val="en-CA"/>
        </w:rPr>
        <w:t xml:space="preserve">rationale, resources required, </w:t>
      </w:r>
      <w:r w:rsidR="00D830C7">
        <w:rPr>
          <w:rFonts w:ascii="Source Sans Pro" w:eastAsia="Source Sans Pro Semibold" w:hAnsi="Source Sans Pro" w:cs="Times New Roman"/>
          <w:lang w:val="en-CA"/>
        </w:rPr>
        <w:t xml:space="preserve">planned </w:t>
      </w:r>
      <w:r w:rsidR="00FD1FEB" w:rsidRPr="00FD1FEB">
        <w:rPr>
          <w:rFonts w:ascii="Source Sans Pro" w:eastAsia="Source Sans Pro Semibold" w:hAnsi="Source Sans Pro" w:cs="Times New Roman"/>
          <w:lang w:val="en-CA"/>
        </w:rPr>
        <w:t>outcomes</w:t>
      </w:r>
      <w:r w:rsidR="00D830C7">
        <w:rPr>
          <w:rFonts w:ascii="Source Sans Pro" w:eastAsia="Source Sans Pro Semibold" w:hAnsi="Source Sans Pro" w:cs="Times New Roman"/>
          <w:lang w:val="en-CA"/>
        </w:rPr>
        <w:t xml:space="preserve"> with</w:t>
      </w:r>
      <w:r w:rsidR="000C4380">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time</w:t>
      </w:r>
      <w:r w:rsidR="00FD1FEB" w:rsidRPr="00FD1FEB">
        <w:rPr>
          <w:rFonts w:ascii="Source Sans Pro" w:eastAsia="Source Sans Pro Semibold" w:hAnsi="Source Sans Pro" w:cs="Times New Roman"/>
          <w:lang w:val="en-CA"/>
        </w:rPr>
        <w:t xml:space="preserve"> frame</w:t>
      </w:r>
      <w:r w:rsidR="000C4380">
        <w:rPr>
          <w:rFonts w:ascii="Source Sans Pro" w:eastAsia="Source Sans Pro Semibold" w:hAnsi="Source Sans Pro" w:cs="Times New Roman"/>
          <w:lang w:val="en-CA"/>
        </w:rPr>
        <w:t>s for</w:t>
      </w:r>
      <w:r w:rsidR="00FD1FEB" w:rsidRPr="00FD1FEB">
        <w:rPr>
          <w:rFonts w:ascii="Source Sans Pro" w:eastAsia="Source Sans Pro Semibold" w:hAnsi="Source Sans Pro" w:cs="Times New Roman"/>
          <w:lang w:val="en-CA"/>
        </w:rPr>
        <w:t xml:space="preserve"> a comprehensive and ambitious programme of activity from 2016 to 2020. The implementation of the Delivery Plan will be overseen by the Cochrane Consumer Network Executive</w:t>
      </w:r>
      <w:r>
        <w:rPr>
          <w:rFonts w:ascii="Source Sans Pro" w:eastAsia="Source Sans Pro Semibold" w:hAnsi="Source Sans Pro" w:cs="Times New Roman"/>
          <w:lang w:val="en-CA"/>
        </w:rPr>
        <w:t>.</w:t>
      </w:r>
    </w:p>
    <w:p w14:paraId="2F86A1C9" w14:textId="77777777" w:rsidR="00FD1FEB" w:rsidRDefault="009C0A9C" w:rsidP="00FD1FEB">
      <w:pPr>
        <w:rPr>
          <w:rFonts w:ascii="Source Sans Pro" w:eastAsia="Source Sans Pro Semibold" w:hAnsi="Source Sans Pro" w:cs="Times New Roman"/>
          <w:b/>
          <w:color w:val="962D91"/>
          <w:spacing w:val="-6"/>
          <w:sz w:val="52"/>
          <w:szCs w:val="52"/>
        </w:rPr>
      </w:pPr>
      <w:r w:rsidRPr="009C0A9C">
        <w:rPr>
          <w:rFonts w:ascii="Source Sans Pro" w:eastAsia="Source Sans Pro Semibold" w:hAnsi="Source Sans Pro" w:cs="Times New Roman"/>
          <w:b/>
          <w:color w:val="962D91"/>
          <w:spacing w:val="-6"/>
          <w:sz w:val="52"/>
          <w:szCs w:val="52"/>
        </w:rPr>
        <w:lastRenderedPageBreak/>
        <w:t xml:space="preserve">Delivery Plan </w:t>
      </w:r>
      <w:r w:rsidR="0040714E">
        <w:rPr>
          <w:rFonts w:ascii="Source Sans Pro" w:eastAsia="Source Sans Pro Semibold" w:hAnsi="Source Sans Pro" w:cs="Times New Roman"/>
          <w:b/>
          <w:color w:val="962D91"/>
          <w:spacing w:val="-6"/>
          <w:sz w:val="52"/>
          <w:szCs w:val="52"/>
        </w:rPr>
        <w:t xml:space="preserve">2016 </w:t>
      </w:r>
      <w:r w:rsidR="007351F6">
        <w:rPr>
          <w:rFonts w:ascii="Source Sans Pro" w:eastAsia="Source Sans Pro Semibold" w:hAnsi="Source Sans Pro" w:cs="Times New Roman"/>
          <w:b/>
          <w:color w:val="962D91"/>
          <w:spacing w:val="-6"/>
          <w:sz w:val="52"/>
          <w:szCs w:val="52"/>
        </w:rPr>
        <w:t xml:space="preserve">to 2020 </w:t>
      </w:r>
      <w:r w:rsidR="00BE3268">
        <w:rPr>
          <w:rFonts w:ascii="Source Sans Pro" w:eastAsia="Source Sans Pro Semibold" w:hAnsi="Source Sans Pro" w:cs="Times New Roman"/>
          <w:b/>
          <w:color w:val="962D91"/>
          <w:spacing w:val="-6"/>
          <w:sz w:val="52"/>
          <w:szCs w:val="52"/>
        </w:rPr>
        <w:t>Priorities</w:t>
      </w:r>
      <w:r w:rsidR="00EE15E8" w:rsidRPr="00EE15E8">
        <w:rPr>
          <w:rFonts w:ascii="Source Sans Pro" w:eastAsia="Source Sans Pro Semibold" w:hAnsi="Source Sans Pro" w:cs="Times New Roman"/>
          <w:b/>
          <w:color w:val="962D91"/>
          <w:spacing w:val="-6"/>
          <w:sz w:val="52"/>
          <w:szCs w:val="52"/>
        </w:rPr>
        <w:t xml:space="preserve"> </w:t>
      </w:r>
    </w:p>
    <w:p w14:paraId="5AF95AF5" w14:textId="77777777" w:rsidR="00FD1FEB" w:rsidRDefault="00FD1FEB" w:rsidP="00FD1FEB">
      <w:pPr>
        <w:spacing w:after="0" w:line="240" w:lineRule="auto"/>
        <w:rPr>
          <w:rFonts w:ascii="Source Sans Pro" w:eastAsia="Source Sans Pro Semibold" w:hAnsi="Source Sans Pro" w:cs="Times New Roman"/>
          <w:sz w:val="24"/>
          <w:lang w:val="en-CA"/>
        </w:rPr>
      </w:pPr>
    </w:p>
    <w:p w14:paraId="2B235906" w14:textId="77777777" w:rsidR="00EE15E8" w:rsidRDefault="00EE15E8" w:rsidP="00FD1FEB">
      <w:pPr>
        <w:spacing w:after="0" w:line="240" w:lineRule="auto"/>
        <w:rPr>
          <w:rFonts w:ascii="Source Sans Pro" w:eastAsia="Source Sans Pro Semibold" w:hAnsi="Source Sans Pro" w:cs="Times New Roman"/>
          <w:lang w:val="en-CA"/>
        </w:rPr>
      </w:pPr>
      <w:r w:rsidRPr="00FD1FEB">
        <w:rPr>
          <w:rFonts w:ascii="Source Sans Pro" w:eastAsia="Source Sans Pro Semibold" w:hAnsi="Source Sans Pro" w:cs="Times New Roman"/>
          <w:lang w:val="en-CA"/>
        </w:rPr>
        <w:t xml:space="preserve">The SFR identified seven priorities </w:t>
      </w:r>
      <w:r w:rsidR="00FD1FEB" w:rsidRPr="00FD1FEB">
        <w:rPr>
          <w:rFonts w:ascii="Source Sans Pro" w:eastAsia="Source Sans Pro Semibold" w:hAnsi="Source Sans Pro" w:cs="Times New Roman"/>
          <w:lang w:val="en-CA"/>
        </w:rPr>
        <w:t>in the Delivery Plan</w:t>
      </w:r>
      <w:r w:rsidRPr="00FD1FEB">
        <w:rPr>
          <w:rFonts w:ascii="Source Sans Pro" w:eastAsia="Source Sans Pro Semibold" w:hAnsi="Source Sans Pro" w:cs="Times New Roman"/>
          <w:lang w:val="en-CA"/>
        </w:rPr>
        <w:t xml:space="preserve">, with the </w:t>
      </w:r>
      <w:r w:rsidR="00CD58EA">
        <w:rPr>
          <w:rFonts w:ascii="Source Sans Pro" w:eastAsia="Source Sans Pro Semibold" w:hAnsi="Source Sans Pro" w:cs="Times New Roman"/>
          <w:lang w:val="en-CA"/>
        </w:rPr>
        <w:t>inclusion</w:t>
      </w:r>
      <w:r w:rsidR="00CD58EA" w:rsidRPr="00FD1FEB">
        <w:rPr>
          <w:rFonts w:ascii="Source Sans Pro" w:eastAsia="Source Sans Pro Semibold" w:hAnsi="Source Sans Pro" w:cs="Times New Roman"/>
          <w:lang w:val="en-CA"/>
        </w:rPr>
        <w:t xml:space="preserve"> </w:t>
      </w:r>
      <w:r w:rsidRPr="00FD1FEB">
        <w:rPr>
          <w:rFonts w:ascii="Source Sans Pro" w:eastAsia="Source Sans Pro Semibold" w:hAnsi="Source Sans Pro" w:cs="Times New Roman"/>
          <w:lang w:val="en-CA"/>
        </w:rPr>
        <w:t>of an eighth, which was added in the proc</w:t>
      </w:r>
      <w:r w:rsidR="00FD1FEB" w:rsidRPr="00FD1FEB">
        <w:rPr>
          <w:rFonts w:ascii="Source Sans Pro" w:eastAsia="Source Sans Pro Semibold" w:hAnsi="Source Sans Pro" w:cs="Times New Roman"/>
          <w:lang w:val="en-CA"/>
        </w:rPr>
        <w:t xml:space="preserve">ess of developing the </w:t>
      </w:r>
      <w:r w:rsidRPr="00FD1FEB">
        <w:rPr>
          <w:rFonts w:ascii="Source Sans Pro" w:eastAsia="Source Sans Pro Semibold" w:hAnsi="Source Sans Pro" w:cs="Times New Roman"/>
          <w:lang w:val="en-CA"/>
        </w:rPr>
        <w:t>Plan.</w:t>
      </w:r>
    </w:p>
    <w:p w14:paraId="061B03DD" w14:textId="77777777" w:rsidR="00CD58EA" w:rsidRPr="00FD1FEB" w:rsidRDefault="00CD58EA" w:rsidP="00FD1FEB">
      <w:pPr>
        <w:spacing w:after="0" w:line="240" w:lineRule="auto"/>
        <w:rPr>
          <w:rFonts w:ascii="Source Sans Pro" w:eastAsia="Source Sans Pro Semibold" w:hAnsi="Source Sans Pro" w:cs="Times New Roman"/>
          <w:b/>
          <w:color w:val="962D91"/>
          <w:spacing w:val="-6"/>
        </w:rPr>
      </w:pPr>
    </w:p>
    <w:p w14:paraId="556FF01A" w14:textId="77777777" w:rsidR="00EB08CE" w:rsidRPr="006D504B" w:rsidRDefault="00EB08CE"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Develop a</w:t>
      </w:r>
      <w:r w:rsidR="006D504B" w:rsidRPr="006D504B">
        <w:rPr>
          <w:rFonts w:ascii="Source Sans Pro" w:eastAsia="Source Sans Pro Semibold" w:hAnsi="Source Sans Pro" w:cs="Times New Roman"/>
          <w:b/>
          <w:color w:val="962D91"/>
          <w:sz w:val="28"/>
          <w:szCs w:val="28"/>
        </w:rPr>
        <w:t>nd adopt</w:t>
      </w:r>
      <w:r w:rsidRPr="006D504B">
        <w:rPr>
          <w:rFonts w:ascii="Source Sans Pro" w:eastAsia="Source Sans Pro Semibold" w:hAnsi="Source Sans Pro" w:cs="Times New Roman"/>
          <w:b/>
          <w:color w:val="962D91"/>
          <w:sz w:val="28"/>
          <w:szCs w:val="28"/>
        </w:rPr>
        <w:t xml:space="preserve"> </w:t>
      </w:r>
      <w:r w:rsidR="006D504B" w:rsidRPr="006D504B">
        <w:rPr>
          <w:rFonts w:ascii="Source Sans Pro" w:eastAsia="Source Sans Pro Semibold" w:hAnsi="Source Sans Pro" w:cs="Times New Roman"/>
          <w:b/>
          <w:color w:val="962D91"/>
          <w:sz w:val="28"/>
          <w:szCs w:val="28"/>
        </w:rPr>
        <w:t xml:space="preserve">a </w:t>
      </w:r>
      <w:r w:rsidRPr="006D504B">
        <w:rPr>
          <w:rFonts w:ascii="Source Sans Pro" w:eastAsia="Source Sans Pro Semibold" w:hAnsi="Source Sans Pro" w:cs="Times New Roman"/>
          <w:b/>
          <w:color w:val="962D91"/>
          <w:sz w:val="28"/>
          <w:szCs w:val="28"/>
        </w:rPr>
        <w:t>statement of principles</w:t>
      </w:r>
      <w:r w:rsidR="005B7FBC" w:rsidRPr="006D504B">
        <w:rPr>
          <w:rFonts w:ascii="Source Sans Pro" w:eastAsia="Source Sans Pro Semibold" w:hAnsi="Source Sans Pro" w:cs="Times New Roman"/>
          <w:b/>
          <w:color w:val="962D91"/>
          <w:sz w:val="28"/>
          <w:szCs w:val="28"/>
        </w:rPr>
        <w:t xml:space="preserve"> </w:t>
      </w:r>
      <w:r w:rsidR="00CD58EA" w:rsidRPr="006D504B">
        <w:rPr>
          <w:rFonts w:ascii="Source Sans Pro" w:eastAsia="Source Sans Pro Semibold" w:hAnsi="Source Sans Pro" w:cs="Times New Roman"/>
          <w:b/>
          <w:color w:val="962D91"/>
          <w:sz w:val="28"/>
          <w:szCs w:val="28"/>
        </w:rPr>
        <w:t xml:space="preserve">about </w:t>
      </w:r>
      <w:r w:rsidR="005B7FBC" w:rsidRPr="006D504B">
        <w:rPr>
          <w:rFonts w:ascii="Source Sans Pro" w:eastAsia="Source Sans Pro Semibold" w:hAnsi="Source Sans Pro" w:cs="Times New Roman"/>
          <w:b/>
          <w:color w:val="962D91"/>
          <w:sz w:val="28"/>
          <w:szCs w:val="28"/>
        </w:rPr>
        <w:t xml:space="preserve">consumer </w:t>
      </w:r>
      <w:r w:rsidR="00CD58EA" w:rsidRPr="006D504B">
        <w:rPr>
          <w:rFonts w:ascii="Source Sans Pro" w:eastAsia="Source Sans Pro Semibold" w:hAnsi="Source Sans Pro" w:cs="Times New Roman"/>
          <w:b/>
          <w:color w:val="962D91"/>
          <w:sz w:val="28"/>
          <w:szCs w:val="28"/>
        </w:rPr>
        <w:t>involvement in Cochrane</w:t>
      </w:r>
    </w:p>
    <w:p w14:paraId="425B05D7" w14:textId="5F6D8DC0" w:rsidR="00EB08CE" w:rsidRPr="006D504B" w:rsidRDefault="00ED1E48"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 xml:space="preserve">Integrate </w:t>
      </w:r>
      <w:r w:rsidR="00BC63D3" w:rsidRPr="006D504B">
        <w:rPr>
          <w:rFonts w:ascii="Source Sans Pro" w:eastAsia="Source Sans Pro Semibold" w:hAnsi="Source Sans Pro" w:cs="Times New Roman"/>
          <w:b/>
          <w:color w:val="962D91"/>
          <w:sz w:val="28"/>
          <w:szCs w:val="28"/>
        </w:rPr>
        <w:t>consumer</w:t>
      </w:r>
      <w:r w:rsidRPr="006D504B">
        <w:rPr>
          <w:rFonts w:ascii="Source Sans Pro" w:eastAsia="Source Sans Pro Semibold" w:hAnsi="Source Sans Pro" w:cs="Times New Roman"/>
          <w:b/>
          <w:color w:val="962D91"/>
          <w:sz w:val="28"/>
          <w:szCs w:val="28"/>
        </w:rPr>
        <w:t xml:space="preserve"> involvement and representation </w:t>
      </w:r>
      <w:r w:rsidR="00D830C7">
        <w:rPr>
          <w:rFonts w:ascii="Source Sans Pro" w:eastAsia="Source Sans Pro Semibold" w:hAnsi="Source Sans Pro" w:cs="Times New Roman"/>
          <w:b/>
          <w:color w:val="962D91"/>
          <w:sz w:val="28"/>
          <w:szCs w:val="28"/>
        </w:rPr>
        <w:t xml:space="preserve">in all levels of Cochrane </w:t>
      </w:r>
      <w:r w:rsidRPr="006D504B">
        <w:rPr>
          <w:rFonts w:ascii="Source Sans Pro" w:eastAsia="Source Sans Pro Semibold" w:hAnsi="Source Sans Pro" w:cs="Times New Roman"/>
          <w:b/>
          <w:color w:val="962D91"/>
          <w:sz w:val="28"/>
          <w:szCs w:val="28"/>
        </w:rPr>
        <w:t xml:space="preserve">decision-making groups </w:t>
      </w:r>
    </w:p>
    <w:p w14:paraId="38FBCE44" w14:textId="77777777" w:rsidR="00EB08CE" w:rsidRPr="006D504B" w:rsidRDefault="00EB08CE"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Support consumer involvement throughout the</w:t>
      </w:r>
      <w:r w:rsidR="005B7FBC" w:rsidRPr="006D504B">
        <w:rPr>
          <w:rFonts w:ascii="Source Sans Pro" w:eastAsia="Source Sans Pro Semibold" w:hAnsi="Source Sans Pro" w:cs="Times New Roman"/>
          <w:b/>
          <w:color w:val="962D91"/>
          <w:sz w:val="28"/>
          <w:szCs w:val="28"/>
        </w:rPr>
        <w:t xml:space="preserve"> entire review production and evidence dissemination process</w:t>
      </w:r>
    </w:p>
    <w:p w14:paraId="2F24D348" w14:textId="49B32F49" w:rsidR="00EB08CE" w:rsidRPr="006D504B" w:rsidRDefault="00CD58EA"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 xml:space="preserve">Contribute to the development of </w:t>
      </w:r>
      <w:r w:rsidR="00D830C7">
        <w:rPr>
          <w:rFonts w:ascii="Source Sans Pro" w:eastAsia="Source Sans Pro Semibold" w:hAnsi="Source Sans Pro" w:cs="Times New Roman"/>
          <w:b/>
          <w:color w:val="962D91"/>
          <w:sz w:val="28"/>
          <w:szCs w:val="28"/>
        </w:rPr>
        <w:t xml:space="preserve">the </w:t>
      </w:r>
      <w:r w:rsidRPr="006D504B">
        <w:rPr>
          <w:rFonts w:ascii="Source Sans Pro" w:eastAsia="Source Sans Pro Semibold" w:hAnsi="Source Sans Pro" w:cs="Times New Roman"/>
          <w:b/>
          <w:color w:val="962D91"/>
          <w:sz w:val="28"/>
          <w:szCs w:val="28"/>
        </w:rPr>
        <w:t>Cochrane</w:t>
      </w:r>
      <w:r w:rsidR="00EB08CE" w:rsidRPr="006D504B">
        <w:rPr>
          <w:rFonts w:ascii="Source Sans Pro" w:eastAsia="Source Sans Pro Semibold" w:hAnsi="Source Sans Pro" w:cs="Times New Roman"/>
          <w:b/>
          <w:color w:val="962D91"/>
          <w:sz w:val="28"/>
          <w:szCs w:val="28"/>
        </w:rPr>
        <w:t xml:space="preserve"> Membership</w:t>
      </w:r>
      <w:r w:rsidR="00D830C7">
        <w:rPr>
          <w:rFonts w:ascii="Source Sans Pro" w:eastAsia="Source Sans Pro Semibold" w:hAnsi="Source Sans Pro" w:cs="Times New Roman"/>
          <w:b/>
          <w:color w:val="962D91"/>
          <w:sz w:val="28"/>
          <w:szCs w:val="28"/>
        </w:rPr>
        <w:t xml:space="preserve"> plan</w:t>
      </w:r>
      <w:r w:rsidR="00EB08CE" w:rsidRPr="006D504B">
        <w:rPr>
          <w:rFonts w:ascii="Source Sans Pro" w:eastAsia="Source Sans Pro Semibold" w:hAnsi="Source Sans Pro" w:cs="Times New Roman"/>
          <w:b/>
          <w:color w:val="962D91"/>
          <w:sz w:val="28"/>
          <w:szCs w:val="28"/>
        </w:rPr>
        <w:t xml:space="preserve"> </w:t>
      </w:r>
      <w:r w:rsidR="005B7FBC" w:rsidRPr="006D504B">
        <w:rPr>
          <w:rFonts w:ascii="Source Sans Pro" w:eastAsia="Source Sans Pro Semibold" w:hAnsi="Source Sans Pro" w:cs="Times New Roman"/>
          <w:b/>
          <w:color w:val="962D91"/>
          <w:sz w:val="28"/>
          <w:szCs w:val="28"/>
        </w:rPr>
        <w:t xml:space="preserve">to </w:t>
      </w:r>
      <w:r w:rsidR="005A44C5" w:rsidRPr="006D504B">
        <w:rPr>
          <w:rFonts w:ascii="Source Sans Pro" w:eastAsia="Source Sans Pro Semibold" w:hAnsi="Source Sans Pro" w:cs="Times New Roman"/>
          <w:b/>
          <w:color w:val="962D91"/>
          <w:sz w:val="28"/>
          <w:szCs w:val="28"/>
        </w:rPr>
        <w:t xml:space="preserve">ensure the </w:t>
      </w:r>
      <w:r w:rsidR="00D830C7">
        <w:rPr>
          <w:rFonts w:ascii="Source Sans Pro" w:eastAsia="Source Sans Pro Semibold" w:hAnsi="Source Sans Pro" w:cs="Times New Roman"/>
          <w:b/>
          <w:color w:val="962D91"/>
          <w:sz w:val="28"/>
          <w:szCs w:val="28"/>
        </w:rPr>
        <w:t xml:space="preserve">it </w:t>
      </w:r>
      <w:r w:rsidR="005A44C5" w:rsidRPr="006D504B">
        <w:rPr>
          <w:rFonts w:ascii="Source Sans Pro" w:eastAsia="Source Sans Pro Semibold" w:hAnsi="Source Sans Pro" w:cs="Times New Roman"/>
          <w:b/>
          <w:color w:val="962D91"/>
          <w:sz w:val="28"/>
          <w:szCs w:val="28"/>
        </w:rPr>
        <w:t xml:space="preserve">offers </w:t>
      </w:r>
      <w:r w:rsidRPr="006D504B">
        <w:rPr>
          <w:rFonts w:ascii="Source Sans Pro" w:eastAsia="Source Sans Pro Semibold" w:hAnsi="Source Sans Pro" w:cs="Times New Roman"/>
          <w:b/>
          <w:color w:val="962D91"/>
          <w:sz w:val="28"/>
          <w:szCs w:val="28"/>
        </w:rPr>
        <w:t xml:space="preserve">maximum opportunities for consumer </w:t>
      </w:r>
      <w:r w:rsidR="00FB25DA">
        <w:rPr>
          <w:rFonts w:ascii="Source Sans Pro" w:eastAsia="Source Sans Pro Semibold" w:hAnsi="Source Sans Pro" w:cs="Times New Roman"/>
          <w:b/>
          <w:color w:val="962D91"/>
          <w:sz w:val="28"/>
          <w:szCs w:val="28"/>
        </w:rPr>
        <w:t>membership</w:t>
      </w:r>
      <w:r w:rsidR="00FB25DA" w:rsidRPr="006D504B">
        <w:rPr>
          <w:rFonts w:ascii="Source Sans Pro" w:eastAsia="Source Sans Pro Semibold" w:hAnsi="Source Sans Pro" w:cs="Times New Roman"/>
          <w:b/>
          <w:color w:val="962D91"/>
          <w:sz w:val="28"/>
          <w:szCs w:val="28"/>
        </w:rPr>
        <w:t xml:space="preserve"> </w:t>
      </w:r>
      <w:r w:rsidRPr="006D504B">
        <w:rPr>
          <w:rFonts w:ascii="Source Sans Pro" w:eastAsia="Source Sans Pro Semibold" w:hAnsi="Source Sans Pro" w:cs="Times New Roman"/>
          <w:b/>
          <w:color w:val="962D91"/>
          <w:sz w:val="28"/>
          <w:szCs w:val="28"/>
        </w:rPr>
        <w:t>and involvement</w:t>
      </w:r>
      <w:r w:rsidR="005A44C5" w:rsidRPr="006D504B">
        <w:rPr>
          <w:rFonts w:ascii="Source Sans Pro" w:eastAsia="Source Sans Pro Semibold" w:hAnsi="Source Sans Pro" w:cs="Times New Roman"/>
          <w:b/>
          <w:color w:val="962D91"/>
          <w:sz w:val="28"/>
          <w:szCs w:val="28"/>
        </w:rPr>
        <w:t xml:space="preserve">  </w:t>
      </w:r>
    </w:p>
    <w:p w14:paraId="32CA3D0F" w14:textId="54232FA0" w:rsidR="00EB08CE" w:rsidRPr="006D504B" w:rsidRDefault="00EB08CE"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Build on</w:t>
      </w:r>
      <w:r w:rsidR="00D830C7">
        <w:rPr>
          <w:rFonts w:ascii="Source Sans Pro" w:eastAsia="Source Sans Pro Semibold" w:hAnsi="Source Sans Pro" w:cs="Times New Roman"/>
          <w:b/>
          <w:color w:val="962D91"/>
          <w:sz w:val="28"/>
          <w:szCs w:val="28"/>
        </w:rPr>
        <w:t xml:space="preserve"> current</w:t>
      </w:r>
      <w:r w:rsidRPr="006D504B">
        <w:rPr>
          <w:rFonts w:ascii="Source Sans Pro" w:eastAsia="Source Sans Pro Semibold" w:hAnsi="Source Sans Pro" w:cs="Times New Roman"/>
          <w:b/>
          <w:color w:val="962D91"/>
          <w:sz w:val="28"/>
          <w:szCs w:val="28"/>
        </w:rPr>
        <w:t xml:space="preserve"> and </w:t>
      </w:r>
      <w:r w:rsidR="00ED1E48" w:rsidRPr="006D504B">
        <w:rPr>
          <w:rFonts w:ascii="Source Sans Pro" w:eastAsia="Source Sans Pro Semibold" w:hAnsi="Source Sans Pro" w:cs="Times New Roman"/>
          <w:b/>
          <w:color w:val="962D91"/>
          <w:sz w:val="28"/>
          <w:szCs w:val="28"/>
        </w:rPr>
        <w:t>develop new</w:t>
      </w:r>
      <w:r w:rsidR="00D830C7">
        <w:rPr>
          <w:rFonts w:ascii="Source Sans Pro" w:eastAsia="Source Sans Pro Semibold" w:hAnsi="Source Sans Pro" w:cs="Times New Roman"/>
          <w:b/>
          <w:color w:val="962D91"/>
          <w:sz w:val="28"/>
          <w:szCs w:val="28"/>
        </w:rPr>
        <w:t>,</w:t>
      </w:r>
      <w:r w:rsidR="00ED1E48" w:rsidRPr="006D504B">
        <w:rPr>
          <w:rFonts w:ascii="Source Sans Pro" w:eastAsia="Source Sans Pro Semibold" w:hAnsi="Source Sans Pro" w:cs="Times New Roman"/>
          <w:b/>
          <w:color w:val="962D91"/>
          <w:sz w:val="28"/>
          <w:szCs w:val="28"/>
        </w:rPr>
        <w:t xml:space="preserve"> </w:t>
      </w:r>
      <w:r w:rsidRPr="006D504B">
        <w:rPr>
          <w:rFonts w:ascii="Source Sans Pro" w:eastAsia="Source Sans Pro Semibold" w:hAnsi="Source Sans Pro" w:cs="Times New Roman"/>
          <w:b/>
          <w:color w:val="962D91"/>
          <w:sz w:val="28"/>
          <w:szCs w:val="28"/>
        </w:rPr>
        <w:t xml:space="preserve">programmes of </w:t>
      </w:r>
      <w:r w:rsidR="00D830C7">
        <w:rPr>
          <w:rFonts w:ascii="Source Sans Pro" w:eastAsia="Source Sans Pro Semibold" w:hAnsi="Source Sans Pro" w:cs="Times New Roman"/>
          <w:b/>
          <w:color w:val="962D91"/>
          <w:sz w:val="28"/>
          <w:szCs w:val="28"/>
        </w:rPr>
        <w:t xml:space="preserve">training </w:t>
      </w:r>
      <w:r w:rsidR="00531F77">
        <w:rPr>
          <w:rFonts w:ascii="Source Sans Pro" w:eastAsia="Source Sans Pro Semibold" w:hAnsi="Source Sans Pro" w:cs="Times New Roman"/>
          <w:b/>
          <w:color w:val="962D91"/>
          <w:sz w:val="28"/>
          <w:szCs w:val="28"/>
        </w:rPr>
        <w:t>and</w:t>
      </w:r>
      <w:r w:rsidR="00531F77" w:rsidRPr="006D504B">
        <w:rPr>
          <w:rFonts w:ascii="Source Sans Pro" w:eastAsia="Source Sans Pro Semibold" w:hAnsi="Source Sans Pro" w:cs="Times New Roman"/>
          <w:b/>
          <w:color w:val="962D91"/>
          <w:sz w:val="28"/>
          <w:szCs w:val="28"/>
        </w:rPr>
        <w:t xml:space="preserve"> support</w:t>
      </w:r>
      <w:r w:rsidRPr="006D504B">
        <w:rPr>
          <w:rFonts w:ascii="Source Sans Pro" w:eastAsia="Source Sans Pro Semibold" w:hAnsi="Source Sans Pro" w:cs="Times New Roman"/>
          <w:b/>
          <w:color w:val="962D91"/>
          <w:sz w:val="28"/>
          <w:szCs w:val="28"/>
        </w:rPr>
        <w:t xml:space="preserve"> for Cochrane consumers</w:t>
      </w:r>
      <w:r w:rsidR="00BC63D3" w:rsidRPr="006D504B">
        <w:rPr>
          <w:rFonts w:ascii="Source Sans Pro" w:eastAsia="Source Sans Pro Semibold" w:hAnsi="Source Sans Pro" w:cs="Times New Roman"/>
          <w:b/>
          <w:color w:val="962D91"/>
          <w:sz w:val="28"/>
          <w:szCs w:val="28"/>
        </w:rPr>
        <w:t xml:space="preserve"> </w:t>
      </w:r>
    </w:p>
    <w:p w14:paraId="1395425E" w14:textId="77777777" w:rsidR="00EB08CE" w:rsidRPr="006D504B" w:rsidRDefault="00EB08CE"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 xml:space="preserve">Improve communication </w:t>
      </w:r>
      <w:r w:rsidR="00C813FA">
        <w:rPr>
          <w:rFonts w:ascii="Source Sans Pro" w:eastAsia="Source Sans Pro Semibold" w:hAnsi="Source Sans Pro" w:cs="Times New Roman"/>
          <w:b/>
          <w:color w:val="962D91"/>
          <w:sz w:val="28"/>
          <w:szCs w:val="28"/>
        </w:rPr>
        <w:t>with Cochrane consumers</w:t>
      </w:r>
    </w:p>
    <w:p w14:paraId="601FC26C" w14:textId="77777777" w:rsidR="00EB08CE" w:rsidRPr="006D504B" w:rsidRDefault="00EB08CE"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Build effective external partnerships</w:t>
      </w:r>
      <w:r w:rsidR="00BC63D3" w:rsidRPr="006D504B">
        <w:rPr>
          <w:rFonts w:ascii="Source Sans Pro" w:eastAsia="Source Sans Pro Semibold" w:hAnsi="Source Sans Pro" w:cs="Times New Roman"/>
          <w:b/>
          <w:color w:val="962D91"/>
          <w:sz w:val="28"/>
          <w:szCs w:val="28"/>
        </w:rPr>
        <w:t xml:space="preserve"> </w:t>
      </w:r>
    </w:p>
    <w:p w14:paraId="3D72A4DE" w14:textId="77777777" w:rsidR="00BC63D3" w:rsidRPr="006D504B" w:rsidRDefault="005A44C5" w:rsidP="00CD58EA">
      <w:pPr>
        <w:pStyle w:val="ListParagraph"/>
        <w:numPr>
          <w:ilvl w:val="1"/>
          <w:numId w:val="18"/>
        </w:numPr>
        <w:spacing w:after="120" w:line="420" w:lineRule="exact"/>
        <w:rPr>
          <w:rFonts w:ascii="Source Sans Pro" w:eastAsia="Source Sans Pro Semibold" w:hAnsi="Source Sans Pro" w:cs="Times New Roman"/>
          <w:b/>
          <w:color w:val="962D91"/>
          <w:sz w:val="28"/>
          <w:szCs w:val="28"/>
        </w:rPr>
      </w:pPr>
      <w:r w:rsidRPr="006D504B">
        <w:rPr>
          <w:rFonts w:ascii="Source Sans Pro" w:eastAsia="Source Sans Pro Semibold" w:hAnsi="Source Sans Pro" w:cs="Times New Roman"/>
          <w:b/>
          <w:color w:val="962D91"/>
          <w:sz w:val="28"/>
          <w:szCs w:val="28"/>
        </w:rPr>
        <w:t>I</w:t>
      </w:r>
      <w:r w:rsidR="00AB7E81" w:rsidRPr="006D504B">
        <w:rPr>
          <w:rFonts w:ascii="Source Sans Pro" w:eastAsia="Source Sans Pro Semibold" w:hAnsi="Source Sans Pro" w:cs="Times New Roman"/>
          <w:b/>
          <w:color w:val="962D91"/>
          <w:sz w:val="28"/>
          <w:szCs w:val="28"/>
        </w:rPr>
        <w:t xml:space="preserve">ncrease awareness </w:t>
      </w:r>
      <w:r w:rsidR="003F1FCE" w:rsidRPr="006D504B">
        <w:rPr>
          <w:rFonts w:ascii="Source Sans Pro" w:eastAsia="Source Sans Pro Semibold" w:hAnsi="Source Sans Pro" w:cs="Times New Roman"/>
          <w:b/>
          <w:color w:val="962D91"/>
          <w:sz w:val="28"/>
          <w:szCs w:val="28"/>
        </w:rPr>
        <w:t xml:space="preserve">of evidence-based medicine </w:t>
      </w:r>
      <w:r w:rsidRPr="006D504B">
        <w:rPr>
          <w:rFonts w:ascii="Source Sans Pro" w:eastAsia="Source Sans Pro Semibold" w:hAnsi="Source Sans Pro" w:cs="Times New Roman"/>
          <w:b/>
          <w:color w:val="962D91"/>
          <w:sz w:val="28"/>
          <w:szCs w:val="28"/>
        </w:rPr>
        <w:t xml:space="preserve">and </w:t>
      </w:r>
      <w:r w:rsidR="003F1FCE" w:rsidRPr="006D504B">
        <w:rPr>
          <w:rFonts w:ascii="Source Sans Pro" w:eastAsia="Source Sans Pro Semibold" w:hAnsi="Source Sans Pro" w:cs="Times New Roman"/>
          <w:b/>
          <w:color w:val="962D91"/>
          <w:sz w:val="28"/>
          <w:szCs w:val="28"/>
        </w:rPr>
        <w:t xml:space="preserve">the </w:t>
      </w:r>
      <w:r w:rsidRPr="006D504B">
        <w:rPr>
          <w:rFonts w:ascii="Source Sans Pro" w:eastAsia="Source Sans Pro Semibold" w:hAnsi="Source Sans Pro" w:cs="Times New Roman"/>
          <w:b/>
          <w:color w:val="962D91"/>
          <w:sz w:val="28"/>
          <w:szCs w:val="28"/>
        </w:rPr>
        <w:t xml:space="preserve">use </w:t>
      </w:r>
      <w:r w:rsidR="00AB7E81" w:rsidRPr="006D504B">
        <w:rPr>
          <w:rFonts w:ascii="Source Sans Pro" w:eastAsia="Source Sans Pro Semibold" w:hAnsi="Source Sans Pro" w:cs="Times New Roman"/>
          <w:b/>
          <w:color w:val="962D91"/>
          <w:sz w:val="28"/>
          <w:szCs w:val="28"/>
        </w:rPr>
        <w:t xml:space="preserve">of Cochrane </w:t>
      </w:r>
      <w:r w:rsidRPr="006D504B">
        <w:rPr>
          <w:rFonts w:ascii="Source Sans Pro" w:eastAsia="Source Sans Pro Semibold" w:hAnsi="Source Sans Pro" w:cs="Times New Roman"/>
          <w:b/>
          <w:color w:val="962D91"/>
          <w:sz w:val="28"/>
          <w:szCs w:val="28"/>
        </w:rPr>
        <w:t>evidence</w:t>
      </w:r>
      <w:r w:rsidR="00D830C7">
        <w:rPr>
          <w:rFonts w:ascii="Source Sans Pro" w:eastAsia="Source Sans Pro Semibold" w:hAnsi="Source Sans Pro" w:cs="Times New Roman"/>
          <w:b/>
          <w:color w:val="962D91"/>
          <w:sz w:val="28"/>
          <w:szCs w:val="28"/>
        </w:rPr>
        <w:t xml:space="preserve"> when making health decisions</w:t>
      </w:r>
      <w:r w:rsidRPr="006D504B">
        <w:rPr>
          <w:rFonts w:ascii="Source Sans Pro" w:eastAsia="Source Sans Pro Semibold" w:hAnsi="Source Sans Pro" w:cs="Times New Roman"/>
          <w:b/>
          <w:color w:val="962D91"/>
          <w:sz w:val="28"/>
          <w:szCs w:val="28"/>
        </w:rPr>
        <w:t xml:space="preserve"> </w:t>
      </w:r>
      <w:r w:rsidR="00AB7E81" w:rsidRPr="006D504B">
        <w:rPr>
          <w:rFonts w:ascii="Source Sans Pro" w:eastAsia="Source Sans Pro Semibold" w:hAnsi="Source Sans Pro" w:cs="Times New Roman"/>
          <w:b/>
          <w:color w:val="962D91"/>
          <w:sz w:val="28"/>
          <w:szCs w:val="28"/>
        </w:rPr>
        <w:t xml:space="preserve">among consumers worldwide </w:t>
      </w:r>
    </w:p>
    <w:p w14:paraId="722BA73F" w14:textId="77777777" w:rsidR="00BC63D3" w:rsidRDefault="00BC63D3" w:rsidP="00BC63D3">
      <w:pPr>
        <w:spacing w:after="120" w:line="420" w:lineRule="exact"/>
        <w:rPr>
          <w:rFonts w:ascii="Source Sans Pro" w:eastAsia="Source Sans Pro Semibold" w:hAnsi="Source Sans Pro" w:cs="Times New Roman"/>
          <w:color w:val="962D91"/>
          <w:sz w:val="24"/>
          <w:szCs w:val="24"/>
        </w:rPr>
      </w:pPr>
    </w:p>
    <w:p w14:paraId="0FBC0A7C" w14:textId="77777777" w:rsidR="00BC63D3" w:rsidRPr="00BC63D3" w:rsidRDefault="00BC63D3" w:rsidP="00BC63D3">
      <w:pPr>
        <w:spacing w:after="120" w:line="420" w:lineRule="exact"/>
        <w:rPr>
          <w:rFonts w:ascii="Source Sans Pro" w:eastAsia="Source Sans Pro Semibold" w:hAnsi="Source Sans Pro" w:cs="Times New Roman"/>
          <w:color w:val="962D91"/>
          <w:sz w:val="24"/>
          <w:szCs w:val="24"/>
        </w:rPr>
        <w:sectPr w:rsidR="00BC63D3" w:rsidRPr="00BC63D3" w:rsidSect="00FD1FE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670" w:bottom="851" w:left="851" w:header="680" w:footer="624" w:gutter="0"/>
          <w:cols w:space="227"/>
          <w:docGrid w:linePitch="360"/>
        </w:sectPr>
      </w:pPr>
    </w:p>
    <w:p w14:paraId="3BEAEE6B" w14:textId="77777777" w:rsidR="00EB08CE" w:rsidRPr="00EB08CE" w:rsidRDefault="00EB08CE" w:rsidP="00FA7F9F">
      <w:pPr>
        <w:spacing w:after="0" w:line="240" w:lineRule="auto"/>
        <w:rPr>
          <w:rFonts w:ascii="Source Sans Pro" w:eastAsia="Times New Roman" w:hAnsi="Source Sans Pro" w:cs="Times New Roman"/>
          <w:color w:val="000000"/>
          <w:lang w:eastAsia="en-GB"/>
        </w:rPr>
      </w:pPr>
    </w:p>
    <w:p w14:paraId="3EC961A1" w14:textId="77777777" w:rsidR="00EB08CE" w:rsidRDefault="00EB08CE" w:rsidP="00FA7F9F">
      <w:pPr>
        <w:spacing w:after="0" w:line="240" w:lineRule="auto"/>
        <w:rPr>
          <w:rFonts w:ascii="Source Sans Pro" w:eastAsia="Source Sans Pro Semibold" w:hAnsi="Source Sans Pro" w:cs="Times New Roman"/>
          <w:sz w:val="24"/>
          <w:lang w:val="en-CA"/>
        </w:rPr>
        <w:sectPr w:rsidR="00EB08CE" w:rsidSect="00EB08CE">
          <w:type w:val="continuous"/>
          <w:pgSz w:w="16838" w:h="11906" w:orient="landscape" w:code="9"/>
          <w:pgMar w:top="1134" w:right="1670" w:bottom="1134" w:left="851" w:header="680" w:footer="624" w:gutter="0"/>
          <w:cols w:num="2" w:space="227" w:equalWidth="0">
            <w:col w:w="4678" w:space="28"/>
            <w:col w:w="6776"/>
          </w:cols>
          <w:docGrid w:linePitch="360"/>
        </w:sectPr>
      </w:pPr>
    </w:p>
    <w:p w14:paraId="4EB32066" w14:textId="77777777" w:rsidR="00EB08CE" w:rsidRDefault="00EB08CE" w:rsidP="00EB08CE">
      <w:pPr>
        <w:spacing w:after="227" w:line="280" w:lineRule="exact"/>
        <w:rPr>
          <w:rFonts w:ascii="Source Sans Pro" w:eastAsia="Source Sans Pro Semibold" w:hAnsi="Source Sans Pro" w:cs="Times New Roman"/>
          <w:sz w:val="24"/>
          <w:lang w:val="en-CA"/>
        </w:rPr>
        <w:sectPr w:rsidR="00EB08CE" w:rsidSect="00432C2E">
          <w:headerReference w:type="even" r:id="rId17"/>
          <w:headerReference w:type="default" r:id="rId18"/>
          <w:footerReference w:type="default" r:id="rId19"/>
          <w:headerReference w:type="first" r:id="rId20"/>
          <w:pgSz w:w="16838" w:h="11906" w:orient="landscape" w:code="9"/>
          <w:pgMar w:top="1440" w:right="1440" w:bottom="1440" w:left="1440" w:header="709" w:footer="709" w:gutter="0"/>
          <w:cols w:space="708"/>
          <w:docGrid w:linePitch="360"/>
        </w:sectPr>
      </w:pPr>
    </w:p>
    <w:tbl>
      <w:tblPr>
        <w:tblStyle w:val="TableGrid"/>
        <w:tblW w:w="14414" w:type="dxa"/>
        <w:tblLayout w:type="fixed"/>
        <w:tblLook w:val="04A0" w:firstRow="1" w:lastRow="0" w:firstColumn="1" w:lastColumn="0" w:noHBand="0" w:noVBand="1"/>
      </w:tblPr>
      <w:tblGrid>
        <w:gridCol w:w="810"/>
        <w:gridCol w:w="2756"/>
        <w:gridCol w:w="4037"/>
        <w:gridCol w:w="2176"/>
        <w:gridCol w:w="79"/>
        <w:gridCol w:w="2495"/>
        <w:gridCol w:w="2061"/>
      </w:tblGrid>
      <w:tr w:rsidR="00AA7D1D" w:rsidRPr="006F1364" w14:paraId="70405AB7" w14:textId="77777777" w:rsidTr="009661D6">
        <w:trPr>
          <w:tblHeader/>
        </w:trPr>
        <w:tc>
          <w:tcPr>
            <w:tcW w:w="810" w:type="dxa"/>
            <w:shd w:val="clear" w:color="auto" w:fill="BFBFBF" w:themeFill="background1" w:themeFillShade="BF"/>
          </w:tcPr>
          <w:p w14:paraId="48EECAC3" w14:textId="77777777" w:rsidR="00AA7D1D" w:rsidRPr="006F1364" w:rsidRDefault="00AA7D1D" w:rsidP="007F52D8">
            <w:pPr>
              <w:spacing w:line="420" w:lineRule="exact"/>
              <w:rPr>
                <w:rFonts w:ascii="Source Sans Pro" w:eastAsia="Source Sans Pro Semibold" w:hAnsi="Source Sans Pro" w:cs="Times New Roman"/>
                <w:b/>
                <w:color w:val="962D91"/>
                <w:sz w:val="28"/>
                <w:szCs w:val="28"/>
              </w:rPr>
            </w:pPr>
          </w:p>
        </w:tc>
        <w:tc>
          <w:tcPr>
            <w:tcW w:w="2756" w:type="dxa"/>
            <w:shd w:val="clear" w:color="auto" w:fill="BFBFBF" w:themeFill="background1" w:themeFillShade="BF"/>
          </w:tcPr>
          <w:p w14:paraId="0BE56F4A" w14:textId="77777777" w:rsidR="00AA7D1D" w:rsidRPr="006F1364" w:rsidRDefault="00AA7D1D" w:rsidP="00AA7D1D">
            <w:pPr>
              <w:spacing w:line="420" w:lineRule="exact"/>
              <w:rPr>
                <w:rFonts w:ascii="Source Sans Pro" w:eastAsia="Source Sans Pro Semibold" w:hAnsi="Source Sans Pro" w:cs="Times New Roman"/>
                <w:b/>
                <w:color w:val="962D91"/>
                <w:sz w:val="28"/>
                <w:szCs w:val="28"/>
              </w:rPr>
            </w:pPr>
            <w:r w:rsidRPr="006F1364">
              <w:rPr>
                <w:rFonts w:ascii="Source Sans Pro" w:eastAsia="Source Sans Pro Semibold" w:hAnsi="Source Sans Pro" w:cs="Times New Roman"/>
                <w:b/>
                <w:color w:val="962D91"/>
                <w:sz w:val="28"/>
                <w:szCs w:val="28"/>
              </w:rPr>
              <w:t>Objective</w:t>
            </w:r>
          </w:p>
        </w:tc>
        <w:tc>
          <w:tcPr>
            <w:tcW w:w="4037" w:type="dxa"/>
            <w:shd w:val="clear" w:color="auto" w:fill="BFBFBF" w:themeFill="background1" w:themeFillShade="BF"/>
          </w:tcPr>
          <w:p w14:paraId="7BEB1231" w14:textId="77777777" w:rsidR="00AA7D1D" w:rsidRPr="006F1364" w:rsidRDefault="00EB08CE" w:rsidP="007F52D8">
            <w:pPr>
              <w:spacing w:line="420" w:lineRule="exact"/>
              <w:rPr>
                <w:rFonts w:ascii="Source Sans Pro" w:eastAsia="Source Sans Pro Semibold" w:hAnsi="Source Sans Pro" w:cs="Times New Roman"/>
                <w:b/>
                <w:color w:val="962D91"/>
                <w:sz w:val="28"/>
                <w:szCs w:val="28"/>
              </w:rPr>
            </w:pPr>
            <w:r>
              <w:rPr>
                <w:rFonts w:ascii="Source Sans Pro" w:eastAsia="Source Sans Pro Semibold" w:hAnsi="Source Sans Pro" w:cs="Times New Roman"/>
                <w:b/>
                <w:color w:val="962D91"/>
                <w:sz w:val="28"/>
                <w:szCs w:val="28"/>
              </w:rPr>
              <w:t>Rationale</w:t>
            </w:r>
          </w:p>
        </w:tc>
        <w:tc>
          <w:tcPr>
            <w:tcW w:w="2176" w:type="dxa"/>
            <w:shd w:val="clear" w:color="auto" w:fill="BFBFBF" w:themeFill="background1" w:themeFillShade="BF"/>
          </w:tcPr>
          <w:p w14:paraId="0425D75E" w14:textId="77777777" w:rsidR="00AA7D1D" w:rsidRPr="006F1364" w:rsidRDefault="006F1364" w:rsidP="007F52D8">
            <w:pPr>
              <w:spacing w:line="420" w:lineRule="exact"/>
              <w:rPr>
                <w:rFonts w:ascii="Source Sans Pro" w:eastAsia="Source Sans Pro Semibold" w:hAnsi="Source Sans Pro" w:cs="Times New Roman"/>
                <w:b/>
                <w:color w:val="962D91"/>
                <w:sz w:val="28"/>
                <w:szCs w:val="28"/>
              </w:rPr>
            </w:pPr>
            <w:r w:rsidRPr="006F1364">
              <w:rPr>
                <w:rFonts w:ascii="Source Sans Pro" w:eastAsia="Source Sans Pro Semibold" w:hAnsi="Source Sans Pro" w:cs="Times New Roman"/>
                <w:b/>
                <w:color w:val="962D91"/>
                <w:sz w:val="28"/>
                <w:szCs w:val="28"/>
              </w:rPr>
              <w:t>Resources</w:t>
            </w:r>
          </w:p>
        </w:tc>
        <w:tc>
          <w:tcPr>
            <w:tcW w:w="2574" w:type="dxa"/>
            <w:gridSpan w:val="2"/>
            <w:shd w:val="clear" w:color="auto" w:fill="BFBFBF" w:themeFill="background1" w:themeFillShade="BF"/>
          </w:tcPr>
          <w:p w14:paraId="3AC3E47A" w14:textId="77777777" w:rsidR="00AA7D1D" w:rsidRPr="006F1364" w:rsidRDefault="00AA7D1D" w:rsidP="007F52D8">
            <w:pPr>
              <w:spacing w:line="420" w:lineRule="exact"/>
              <w:rPr>
                <w:rFonts w:ascii="Source Sans Pro" w:eastAsia="Source Sans Pro Semibold" w:hAnsi="Source Sans Pro" w:cs="Times New Roman"/>
                <w:b/>
                <w:color w:val="962D91"/>
                <w:sz w:val="28"/>
                <w:szCs w:val="28"/>
              </w:rPr>
            </w:pPr>
            <w:r w:rsidRPr="006F1364">
              <w:rPr>
                <w:rFonts w:ascii="Source Sans Pro" w:eastAsia="Source Sans Pro Semibold" w:hAnsi="Source Sans Pro" w:cs="Times New Roman"/>
                <w:b/>
                <w:color w:val="962D91"/>
                <w:sz w:val="28"/>
                <w:szCs w:val="28"/>
              </w:rPr>
              <w:t>Outcome</w:t>
            </w:r>
          </w:p>
        </w:tc>
        <w:tc>
          <w:tcPr>
            <w:tcW w:w="2061" w:type="dxa"/>
            <w:shd w:val="clear" w:color="auto" w:fill="BFBFBF" w:themeFill="background1" w:themeFillShade="BF"/>
          </w:tcPr>
          <w:p w14:paraId="0820E00F" w14:textId="77777777" w:rsidR="00AA7D1D" w:rsidRPr="006F1364" w:rsidRDefault="00AA7D1D" w:rsidP="007F52D8">
            <w:pPr>
              <w:spacing w:line="420" w:lineRule="exact"/>
              <w:rPr>
                <w:rFonts w:ascii="Source Sans Pro" w:eastAsia="Source Sans Pro Semibold" w:hAnsi="Source Sans Pro" w:cs="Times New Roman"/>
                <w:b/>
                <w:color w:val="962D91"/>
                <w:sz w:val="28"/>
                <w:szCs w:val="28"/>
              </w:rPr>
            </w:pPr>
            <w:r w:rsidRPr="006F1364">
              <w:rPr>
                <w:rFonts w:ascii="Source Sans Pro" w:eastAsia="Source Sans Pro Semibold" w:hAnsi="Source Sans Pro" w:cs="Times New Roman"/>
                <w:b/>
                <w:color w:val="962D91"/>
                <w:sz w:val="28"/>
                <w:szCs w:val="28"/>
              </w:rPr>
              <w:t>Timescale</w:t>
            </w:r>
          </w:p>
        </w:tc>
      </w:tr>
      <w:tr w:rsidR="006F1364" w:rsidRPr="006F1364" w14:paraId="14955723" w14:textId="77777777" w:rsidTr="009661D6">
        <w:tc>
          <w:tcPr>
            <w:tcW w:w="14414" w:type="dxa"/>
            <w:gridSpan w:val="7"/>
            <w:shd w:val="clear" w:color="auto" w:fill="F2F2F2" w:themeFill="background1" w:themeFillShade="F2"/>
          </w:tcPr>
          <w:p w14:paraId="6FE51251" w14:textId="77777777" w:rsidR="005A44C5" w:rsidRDefault="00BE3268" w:rsidP="007F52D8">
            <w:pPr>
              <w:spacing w:line="420" w:lineRule="exact"/>
              <w:rPr>
                <w:rFonts w:ascii="Source Sans Pro" w:eastAsia="Source Sans Pro Semibold" w:hAnsi="Source Sans Pro" w:cs="Times New Roman"/>
                <w:b/>
                <w:color w:val="962D91"/>
                <w:sz w:val="28"/>
                <w:szCs w:val="28"/>
              </w:rPr>
            </w:pPr>
            <w:r>
              <w:rPr>
                <w:rFonts w:ascii="Source Sans Pro" w:eastAsia="Source Sans Pro Semibold" w:hAnsi="Source Sans Pro" w:cs="Times New Roman"/>
                <w:b/>
                <w:color w:val="962D91"/>
                <w:sz w:val="28"/>
                <w:szCs w:val="28"/>
              </w:rPr>
              <w:t>Priority</w:t>
            </w:r>
            <w:r w:rsidR="00225F2B">
              <w:rPr>
                <w:rFonts w:ascii="Source Sans Pro" w:eastAsia="Source Sans Pro Semibold" w:hAnsi="Source Sans Pro" w:cs="Times New Roman"/>
                <w:b/>
                <w:color w:val="962D91"/>
                <w:sz w:val="28"/>
                <w:szCs w:val="28"/>
              </w:rPr>
              <w:t xml:space="preserve"> 1</w:t>
            </w:r>
            <w:r w:rsidR="00225F2B" w:rsidRPr="00225F2B">
              <w:rPr>
                <w:rFonts w:ascii="Source Sans Pro" w:eastAsia="Source Sans Pro Semibold" w:hAnsi="Source Sans Pro" w:cs="Times New Roman"/>
                <w:b/>
                <w:color w:val="962D91"/>
                <w:sz w:val="28"/>
                <w:szCs w:val="28"/>
              </w:rPr>
              <w:t>.0 Develop a</w:t>
            </w:r>
            <w:r w:rsidR="00E56070">
              <w:rPr>
                <w:rFonts w:ascii="Source Sans Pro" w:eastAsia="Source Sans Pro Semibold" w:hAnsi="Source Sans Pro" w:cs="Times New Roman"/>
                <w:b/>
                <w:color w:val="962D91"/>
                <w:sz w:val="28"/>
                <w:szCs w:val="28"/>
              </w:rPr>
              <w:t>nd adopt a</w:t>
            </w:r>
            <w:r w:rsidR="00225F2B" w:rsidRPr="00225F2B">
              <w:rPr>
                <w:rFonts w:ascii="Source Sans Pro" w:eastAsia="Source Sans Pro Semibold" w:hAnsi="Source Sans Pro" w:cs="Times New Roman"/>
                <w:b/>
                <w:color w:val="962D91"/>
                <w:sz w:val="28"/>
                <w:szCs w:val="28"/>
              </w:rPr>
              <w:t xml:space="preserve"> statement of principles</w:t>
            </w:r>
            <w:r w:rsidR="005A44C5">
              <w:rPr>
                <w:rFonts w:ascii="Source Sans Pro" w:eastAsia="Source Sans Pro Semibold" w:hAnsi="Source Sans Pro" w:cs="Times New Roman"/>
                <w:b/>
                <w:color w:val="962D91"/>
                <w:sz w:val="28"/>
                <w:szCs w:val="28"/>
              </w:rPr>
              <w:t xml:space="preserve"> </w:t>
            </w:r>
            <w:r w:rsidR="004E0B5F">
              <w:rPr>
                <w:rFonts w:ascii="Source Sans Pro" w:eastAsia="Source Sans Pro Semibold" w:hAnsi="Source Sans Pro" w:cs="Times New Roman"/>
                <w:b/>
                <w:color w:val="962D91"/>
                <w:sz w:val="28"/>
                <w:szCs w:val="28"/>
              </w:rPr>
              <w:t xml:space="preserve">about </w:t>
            </w:r>
            <w:r w:rsidR="005A44C5">
              <w:rPr>
                <w:rFonts w:ascii="Source Sans Pro" w:eastAsia="Source Sans Pro Semibold" w:hAnsi="Source Sans Pro" w:cs="Times New Roman"/>
                <w:b/>
                <w:color w:val="962D91"/>
                <w:sz w:val="28"/>
                <w:szCs w:val="28"/>
              </w:rPr>
              <w:t>consumer involvement</w:t>
            </w:r>
            <w:r w:rsidR="00E56070">
              <w:rPr>
                <w:rFonts w:ascii="Source Sans Pro" w:eastAsia="Source Sans Pro Semibold" w:hAnsi="Source Sans Pro" w:cs="Times New Roman"/>
                <w:b/>
                <w:color w:val="962D91"/>
                <w:sz w:val="28"/>
                <w:szCs w:val="28"/>
              </w:rPr>
              <w:t xml:space="preserve"> in Cochrane</w:t>
            </w:r>
          </w:p>
          <w:p w14:paraId="41FCA6BC" w14:textId="77777777" w:rsidR="006F1364" w:rsidRPr="006F1364" w:rsidRDefault="006F1364" w:rsidP="005A44C5">
            <w:pPr>
              <w:spacing w:line="420" w:lineRule="exact"/>
              <w:rPr>
                <w:rFonts w:ascii="Source Sans Pro" w:eastAsia="Source Sans Pro Semibold" w:hAnsi="Source Sans Pro" w:cs="Times New Roman"/>
                <w:b/>
                <w:color w:val="962D91"/>
                <w:sz w:val="28"/>
                <w:szCs w:val="28"/>
              </w:rPr>
            </w:pPr>
          </w:p>
        </w:tc>
      </w:tr>
      <w:tr w:rsidR="00AA7D1D" w:rsidRPr="00FD1FEB" w14:paraId="4D47E532" w14:textId="77777777" w:rsidTr="00497FD3">
        <w:tc>
          <w:tcPr>
            <w:tcW w:w="810" w:type="dxa"/>
          </w:tcPr>
          <w:p w14:paraId="403C8F37" w14:textId="77777777" w:rsidR="00AA7D1D" w:rsidRPr="00FD1FEB" w:rsidRDefault="00AA7D1D" w:rsidP="006F1364">
            <w:pPr>
              <w:spacing w:line="420" w:lineRule="exact"/>
              <w:rPr>
                <w:rFonts w:ascii="Source Sans Pro" w:eastAsia="Source Sans Pro Semibold" w:hAnsi="Source Sans Pro" w:cs="Times New Roman"/>
                <w:color w:val="962D91"/>
              </w:rPr>
            </w:pPr>
            <w:r w:rsidRPr="00FD1FEB">
              <w:rPr>
                <w:rFonts w:ascii="Source Sans Pro" w:eastAsia="Source Sans Pro Semibold" w:hAnsi="Source Sans Pro" w:cs="Times New Roman"/>
                <w:color w:val="962D91"/>
              </w:rPr>
              <w:t>1.1</w:t>
            </w:r>
          </w:p>
        </w:tc>
        <w:tc>
          <w:tcPr>
            <w:tcW w:w="2756" w:type="dxa"/>
          </w:tcPr>
          <w:p w14:paraId="6E4EFEFA" w14:textId="4728FB18" w:rsidR="00AA7D1D" w:rsidRPr="00FD1FEB" w:rsidRDefault="00AA7D1D" w:rsidP="007F52D8">
            <w:r w:rsidRPr="00FD1FEB">
              <w:t xml:space="preserve">Reaffirm Cochrane’s commitment to consumer involvement </w:t>
            </w:r>
            <w:r w:rsidR="00EF31EA" w:rsidRPr="00FD1FEB">
              <w:t>by</w:t>
            </w:r>
            <w:r w:rsidR="00EF31EA">
              <w:t xml:space="preserve"> involving people inside and outside the organisation leading to </w:t>
            </w:r>
            <w:r w:rsidRPr="00FD1FEB">
              <w:t xml:space="preserve">a </w:t>
            </w:r>
            <w:r w:rsidR="0022237F">
              <w:t xml:space="preserve">Cochrane </w:t>
            </w:r>
            <w:r w:rsidRPr="00FD1FEB">
              <w:t xml:space="preserve">statement of principle </w:t>
            </w:r>
            <w:r w:rsidR="0022237F">
              <w:t xml:space="preserve">for consumer involvement, </w:t>
            </w:r>
            <w:r w:rsidRPr="00FD1FEB">
              <w:t>to which the</w:t>
            </w:r>
            <w:r w:rsidR="00076E9E">
              <w:t xml:space="preserve"> entire Cochrane</w:t>
            </w:r>
            <w:r w:rsidRPr="00FD1FEB">
              <w:t xml:space="preserve"> organisation can commit.</w:t>
            </w:r>
          </w:p>
          <w:p w14:paraId="6798C064" w14:textId="77777777" w:rsidR="00AA7D1D" w:rsidRPr="00FD1FEB" w:rsidRDefault="00AA7D1D" w:rsidP="00DB1D7E"/>
        </w:tc>
        <w:tc>
          <w:tcPr>
            <w:tcW w:w="4037" w:type="dxa"/>
          </w:tcPr>
          <w:p w14:paraId="6A19BB08" w14:textId="41A1D177" w:rsidR="00AA7D1D" w:rsidRDefault="000D1BAA" w:rsidP="0012504D">
            <w:r w:rsidRPr="00FD1FEB">
              <w:t xml:space="preserve">The Consumer Structure &amp; Function Review identified variations in levels </w:t>
            </w:r>
            <w:r w:rsidR="00EF31EA">
              <w:t xml:space="preserve">of </w:t>
            </w:r>
            <w:r w:rsidRPr="00FD1FEB">
              <w:t xml:space="preserve">understanding about, commitment to, and </w:t>
            </w:r>
            <w:r w:rsidR="00076E9E">
              <w:t>degree</w:t>
            </w:r>
            <w:r w:rsidRPr="00FD1FEB">
              <w:t xml:space="preserve"> of consumer involvement across Cochrane. This year long process of </w:t>
            </w:r>
            <w:r w:rsidR="00076E9E">
              <w:t>consultation</w:t>
            </w:r>
            <w:r w:rsidRPr="00FD1FEB">
              <w:t xml:space="preserve"> will examine, clarify and re-affirm the value of consumer involvement in </w:t>
            </w:r>
            <w:r w:rsidR="0012504D" w:rsidRPr="00FD1FEB">
              <w:t>Cochrane reviews</w:t>
            </w:r>
            <w:r w:rsidR="00076E9E">
              <w:t>. It will include</w:t>
            </w:r>
            <w:r w:rsidR="0012504D" w:rsidRPr="00FD1FEB">
              <w:t xml:space="preserve"> issues </w:t>
            </w:r>
            <w:r w:rsidR="00076E9E">
              <w:t xml:space="preserve">such as: </w:t>
            </w:r>
            <w:r w:rsidR="0012504D" w:rsidRPr="00FD1FEB">
              <w:t xml:space="preserve">“Who are consumers?” “What is unique about </w:t>
            </w:r>
            <w:r w:rsidR="00EF31EA">
              <w:t xml:space="preserve">the </w:t>
            </w:r>
            <w:r w:rsidR="0012504D" w:rsidRPr="00FD1FEB">
              <w:t xml:space="preserve">consumer experience?” “How do we best capture the impact of consumer involvement” “How can we make the consumer experience more satisfactory?” “How do we recruit a more representative range of </w:t>
            </w:r>
            <w:r w:rsidR="00EE22EC" w:rsidRPr="00FD1FEB">
              <w:t>consumers?</w:t>
            </w:r>
            <w:r w:rsidR="00C420D0" w:rsidRPr="00FD1FEB">
              <w:t>”</w:t>
            </w:r>
            <w:r w:rsidR="00076E9E">
              <w:t xml:space="preserve"> </w:t>
            </w:r>
            <w:r w:rsidR="00C420D0">
              <w:t xml:space="preserve">A </w:t>
            </w:r>
            <w:r w:rsidR="00C420D0" w:rsidRPr="00FD1FEB">
              <w:t>range</w:t>
            </w:r>
            <w:r w:rsidRPr="00FD1FEB">
              <w:t xml:space="preserve"> of </w:t>
            </w:r>
            <w:r w:rsidR="0089573C" w:rsidRPr="00FD1FEB">
              <w:t>methods</w:t>
            </w:r>
            <w:r w:rsidR="00076E9E">
              <w:t xml:space="preserve"> will be used including</w:t>
            </w:r>
            <w:r w:rsidR="0089573C" w:rsidRPr="00FD1FEB">
              <w:t xml:space="preserve">: blogs, Twitter chats, face to face meetings etc. </w:t>
            </w:r>
            <w:r w:rsidR="00076E9E">
              <w:t>The consultation will culminate</w:t>
            </w:r>
            <w:r w:rsidR="0089573C" w:rsidRPr="00FD1FEB">
              <w:t xml:space="preserve"> in a draft policy statement</w:t>
            </w:r>
            <w:r w:rsidR="00EE22EC" w:rsidRPr="00FD1FEB">
              <w:t xml:space="preserve"> to be submitted to the Cochrane Steering Group for endorsement.</w:t>
            </w:r>
          </w:p>
          <w:p w14:paraId="782901A9" w14:textId="77777777" w:rsidR="00A41D25" w:rsidRDefault="00A41D25" w:rsidP="0012504D"/>
          <w:p w14:paraId="5831B5D7" w14:textId="77777777" w:rsidR="00A41D25" w:rsidRDefault="00A41D25" w:rsidP="0012504D"/>
          <w:p w14:paraId="0619E648" w14:textId="77777777" w:rsidR="00A41D25" w:rsidRDefault="00A41D25" w:rsidP="0012504D"/>
          <w:p w14:paraId="2AA3FE39" w14:textId="77777777" w:rsidR="004E0B5F" w:rsidRDefault="004E0B5F" w:rsidP="0012504D"/>
          <w:p w14:paraId="705C8EAC" w14:textId="77777777" w:rsidR="004E0B5F" w:rsidRDefault="004E0B5F" w:rsidP="0012504D"/>
          <w:p w14:paraId="29DA3EA4" w14:textId="77777777" w:rsidR="004E0B5F" w:rsidRPr="00FD1FEB" w:rsidRDefault="004E0B5F" w:rsidP="0012504D"/>
        </w:tc>
        <w:tc>
          <w:tcPr>
            <w:tcW w:w="2255" w:type="dxa"/>
            <w:gridSpan w:val="2"/>
          </w:tcPr>
          <w:p w14:paraId="34A1F19F" w14:textId="77777777" w:rsidR="00AA7D1D" w:rsidRPr="00FD1FEB" w:rsidRDefault="00EE22EC">
            <w:r w:rsidRPr="00FD1FEB">
              <w:lastRenderedPageBreak/>
              <w:t>T</w:t>
            </w:r>
            <w:r w:rsidR="006F1364" w:rsidRPr="00FD1FEB">
              <w:t>ask group drawn from Cochrane groups – Review Groups, Fields, Centres, CET</w:t>
            </w:r>
          </w:p>
        </w:tc>
        <w:tc>
          <w:tcPr>
            <w:tcW w:w="2495" w:type="dxa"/>
          </w:tcPr>
          <w:p w14:paraId="43BF24A6" w14:textId="6A8F5B29" w:rsidR="00AA7D1D" w:rsidRPr="00FD1FEB" w:rsidRDefault="006F1364" w:rsidP="00E56070">
            <w:r w:rsidRPr="00FD1FEB">
              <w:t xml:space="preserve">Policy statement </w:t>
            </w:r>
            <w:r w:rsidR="000D1BAA" w:rsidRPr="00FD1FEB">
              <w:t xml:space="preserve">to be </w:t>
            </w:r>
            <w:r w:rsidR="00E56070">
              <w:t xml:space="preserve">launched and </w:t>
            </w:r>
            <w:r w:rsidR="000D1BAA" w:rsidRPr="00FD1FEB">
              <w:t xml:space="preserve">tabled at </w:t>
            </w:r>
            <w:r w:rsidR="00EF31EA">
              <w:t xml:space="preserve">the Cochrane </w:t>
            </w:r>
            <w:r w:rsidR="000D1BAA" w:rsidRPr="00FD1FEB">
              <w:t>Steering Group</w:t>
            </w:r>
            <w:r w:rsidR="00EF31EA">
              <w:t xml:space="preserve"> meeting at the </w:t>
            </w:r>
            <w:r w:rsidR="000D1BAA" w:rsidRPr="00FD1FEB">
              <w:t>2016 Colloquium</w:t>
            </w:r>
            <w:r w:rsidR="00C420D0">
              <w:t>.</w:t>
            </w:r>
          </w:p>
        </w:tc>
        <w:tc>
          <w:tcPr>
            <w:tcW w:w="2061" w:type="dxa"/>
          </w:tcPr>
          <w:p w14:paraId="16EDBD83" w14:textId="77777777" w:rsidR="005446D5" w:rsidRPr="00FD1FEB" w:rsidRDefault="005446D5">
            <w:r w:rsidRPr="00FD1FEB">
              <w:t>Begins January 2016</w:t>
            </w:r>
          </w:p>
          <w:p w14:paraId="398C0FD3" w14:textId="6076C323" w:rsidR="00AA7D1D" w:rsidRPr="00FD1FEB" w:rsidRDefault="005446D5">
            <w:r w:rsidRPr="00FD1FEB">
              <w:t>Complete</w:t>
            </w:r>
            <w:r w:rsidR="00076E9E">
              <w:t>d</w:t>
            </w:r>
            <w:r w:rsidR="000D1BAA" w:rsidRPr="00FD1FEB">
              <w:t xml:space="preserve"> by October 2016</w:t>
            </w:r>
          </w:p>
        </w:tc>
      </w:tr>
      <w:tr w:rsidR="006F1364" w:rsidRPr="006F1364" w14:paraId="160FB9FE" w14:textId="77777777" w:rsidTr="009661D6">
        <w:tc>
          <w:tcPr>
            <w:tcW w:w="14414" w:type="dxa"/>
            <w:gridSpan w:val="7"/>
            <w:shd w:val="clear" w:color="auto" w:fill="F2F2F2" w:themeFill="background1" w:themeFillShade="F2"/>
          </w:tcPr>
          <w:p w14:paraId="5A309D4F" w14:textId="77777777" w:rsidR="005B37DC" w:rsidRPr="006F1364" w:rsidRDefault="00BE3268" w:rsidP="00225F2B">
            <w:pPr>
              <w:spacing w:line="420" w:lineRule="exact"/>
              <w:rPr>
                <w:rFonts w:ascii="Source Sans Pro" w:eastAsia="Source Sans Pro Semibold" w:hAnsi="Source Sans Pro" w:cs="Times New Roman"/>
                <w:b/>
                <w:color w:val="962D91"/>
                <w:sz w:val="28"/>
                <w:szCs w:val="28"/>
              </w:rPr>
            </w:pPr>
            <w:r>
              <w:rPr>
                <w:rFonts w:ascii="Source Sans Pro" w:eastAsia="Source Sans Pro Semibold" w:hAnsi="Source Sans Pro" w:cs="Times New Roman"/>
                <w:b/>
                <w:color w:val="962D91"/>
                <w:sz w:val="28"/>
                <w:szCs w:val="28"/>
              </w:rPr>
              <w:lastRenderedPageBreak/>
              <w:t>Priority</w:t>
            </w:r>
            <w:r w:rsidR="006F1364" w:rsidRPr="00225F2B">
              <w:rPr>
                <w:rFonts w:ascii="Source Sans Pro" w:eastAsia="Source Sans Pro Semibold" w:hAnsi="Source Sans Pro" w:cs="Times New Roman"/>
                <w:b/>
                <w:color w:val="962D91"/>
                <w:sz w:val="28"/>
                <w:szCs w:val="28"/>
              </w:rPr>
              <w:t xml:space="preserve"> 2.0 </w:t>
            </w:r>
            <w:r w:rsidR="00ED1E48" w:rsidRPr="009E2384">
              <w:rPr>
                <w:rFonts w:ascii="Source Sans Pro" w:eastAsia="Source Sans Pro Semibold" w:hAnsi="Source Sans Pro" w:cs="Times New Roman"/>
                <w:b/>
                <w:color w:val="962D91"/>
                <w:sz w:val="28"/>
                <w:szCs w:val="28"/>
              </w:rPr>
              <w:t>Integrate consumer involvement and representation in decision-making groups at all levels in Cochrane</w:t>
            </w:r>
          </w:p>
        </w:tc>
      </w:tr>
      <w:tr w:rsidR="00AA7D1D" w14:paraId="2AA96147" w14:textId="77777777" w:rsidTr="009661D6">
        <w:tc>
          <w:tcPr>
            <w:tcW w:w="810" w:type="dxa"/>
          </w:tcPr>
          <w:p w14:paraId="745EF407"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2.1</w:t>
            </w:r>
          </w:p>
        </w:tc>
        <w:tc>
          <w:tcPr>
            <w:tcW w:w="2756" w:type="dxa"/>
          </w:tcPr>
          <w:p w14:paraId="79C49791" w14:textId="77777777" w:rsidR="00AA7D1D" w:rsidRDefault="00AA7D1D" w:rsidP="007F52D8">
            <w:r>
              <w:t>Work towards embedding consumer involvement in governance at all levels and in all Cochrane groups.</w:t>
            </w:r>
          </w:p>
          <w:p w14:paraId="05F78C97" w14:textId="77777777" w:rsidR="00AA7D1D" w:rsidRDefault="00AA7D1D" w:rsidP="00DB1D7E"/>
        </w:tc>
        <w:tc>
          <w:tcPr>
            <w:tcW w:w="4037" w:type="dxa"/>
          </w:tcPr>
          <w:p w14:paraId="04D93A87" w14:textId="76739B94" w:rsidR="00AA7D1D" w:rsidRDefault="009C6533" w:rsidP="00AB2574">
            <w:r>
              <w:t>Improvement of, and support for, consumer involvement has been seen as almost exclusively the realm of the Consumer Network Executive. The complexities of Cochrane (</w:t>
            </w:r>
            <w:r w:rsidR="0044703C">
              <w:t>health topic</w:t>
            </w:r>
            <w:r w:rsidR="00210F20">
              <w:t>s</w:t>
            </w:r>
            <w:r w:rsidR="0044703C">
              <w:t xml:space="preserve">, </w:t>
            </w:r>
            <w:r>
              <w:t>geogra</w:t>
            </w:r>
            <w:r w:rsidR="0044703C">
              <w:t xml:space="preserve">phy, scale, culture, language etc.) and the need to embed consumer involvement throughout the </w:t>
            </w:r>
            <w:r w:rsidR="00210F20">
              <w:t>entire</w:t>
            </w:r>
            <w:r w:rsidR="00AB2574">
              <w:t xml:space="preserve"> review </w:t>
            </w:r>
            <w:r w:rsidR="009E2384">
              <w:t>process would</w:t>
            </w:r>
            <w:r w:rsidR="001C7803">
              <w:t xml:space="preserve"> benefit from consumer involvement being a consistent thread throughout all Cochrane structures. Part of the 2016 d</w:t>
            </w:r>
            <w:r w:rsidR="00210F20">
              <w:t>iscussion</w:t>
            </w:r>
            <w:r w:rsidR="001C7803">
              <w:t xml:space="preserve"> on the future of consumer involvement will relate to how best this should happen and</w:t>
            </w:r>
            <w:r w:rsidR="00210F20">
              <w:t xml:space="preserve"> will</w:t>
            </w:r>
            <w:r w:rsidR="001C7803">
              <w:t xml:space="preserve"> be included in the paper to go to CSG in October 2016</w:t>
            </w:r>
          </w:p>
        </w:tc>
        <w:tc>
          <w:tcPr>
            <w:tcW w:w="2255" w:type="dxa"/>
            <w:gridSpan w:val="2"/>
          </w:tcPr>
          <w:p w14:paraId="1CA6ECF7" w14:textId="77777777" w:rsidR="00AA7D1D" w:rsidRDefault="00AA7D1D"/>
        </w:tc>
        <w:tc>
          <w:tcPr>
            <w:tcW w:w="2495" w:type="dxa"/>
          </w:tcPr>
          <w:p w14:paraId="4ADD81BE" w14:textId="77777777" w:rsidR="00AA7D1D" w:rsidRDefault="001C7803">
            <w:r>
              <w:t>Position paper to CSG October 2016</w:t>
            </w:r>
            <w:r w:rsidR="00BB5C3B">
              <w:t>. Implementation from 2017.</w:t>
            </w:r>
          </w:p>
        </w:tc>
        <w:tc>
          <w:tcPr>
            <w:tcW w:w="2061" w:type="dxa"/>
          </w:tcPr>
          <w:p w14:paraId="2EC730D7" w14:textId="77777777" w:rsidR="00AA7D1D" w:rsidRDefault="005446D5" w:rsidP="00BB5C3B">
            <w:r>
              <w:t xml:space="preserve">Begins </w:t>
            </w:r>
            <w:r w:rsidR="001C7803">
              <w:t>January</w:t>
            </w:r>
            <w:r>
              <w:t xml:space="preserve"> 2016</w:t>
            </w:r>
            <w:r w:rsidR="001C7803">
              <w:t xml:space="preserve">, position paper to CSG October 2016, and implementation </w:t>
            </w:r>
            <w:r w:rsidR="00BB5C3B">
              <w:t>from 2017</w:t>
            </w:r>
          </w:p>
        </w:tc>
      </w:tr>
      <w:tr w:rsidR="00AA7D1D" w14:paraId="64D6B98D" w14:textId="77777777" w:rsidTr="009661D6">
        <w:tc>
          <w:tcPr>
            <w:tcW w:w="810" w:type="dxa"/>
          </w:tcPr>
          <w:p w14:paraId="3F05AAF9"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2.2</w:t>
            </w:r>
          </w:p>
        </w:tc>
        <w:tc>
          <w:tcPr>
            <w:tcW w:w="2756" w:type="dxa"/>
          </w:tcPr>
          <w:p w14:paraId="577CE58D" w14:textId="6BB944C2" w:rsidR="00AA7D1D" w:rsidRDefault="00AA7D1D" w:rsidP="00DB1D7E">
            <w:r>
              <w:t xml:space="preserve">Work closely with Centres and Branches, </w:t>
            </w:r>
            <w:r w:rsidR="00902812">
              <w:t>through</w:t>
            </w:r>
            <w:r>
              <w:t xml:space="preserve"> the Centres Executive</w:t>
            </w:r>
            <w:r w:rsidR="00210F20">
              <w:t>,</w:t>
            </w:r>
            <w:r w:rsidR="00BB5C3B">
              <w:t xml:space="preserve"> to establish a</w:t>
            </w:r>
            <w:r w:rsidR="00AB2574">
              <w:t xml:space="preserve">n enhanced and </w:t>
            </w:r>
            <w:r w:rsidR="00843087">
              <w:t>invigorated</w:t>
            </w:r>
            <w:r w:rsidR="00AB2574">
              <w:t xml:space="preserve"> </w:t>
            </w:r>
            <w:r w:rsidR="00BB5C3B">
              <w:t>c</w:t>
            </w:r>
            <w:r>
              <w:t>onsu</w:t>
            </w:r>
            <w:r w:rsidR="00BB5C3B">
              <w:t>mer n</w:t>
            </w:r>
            <w:r w:rsidR="00016C5B">
              <w:t>etwork and to develop</w:t>
            </w:r>
            <w:r w:rsidR="000F3977">
              <w:t xml:space="preserve"> </w:t>
            </w:r>
            <w:r w:rsidR="00AB2574">
              <w:t xml:space="preserve">the </w:t>
            </w:r>
            <w:r>
              <w:t>role</w:t>
            </w:r>
            <w:r w:rsidR="00F16665">
              <w:t xml:space="preserve"> of Cen</w:t>
            </w:r>
            <w:r w:rsidR="00210F20">
              <w:t>tres and Branches</w:t>
            </w:r>
            <w:r>
              <w:t xml:space="preserve"> in supporting </w:t>
            </w:r>
            <w:r w:rsidR="00F16665">
              <w:t xml:space="preserve"> </w:t>
            </w:r>
            <w:r>
              <w:t xml:space="preserve">consumer involvement </w:t>
            </w:r>
            <w:r w:rsidR="00F16665">
              <w:t xml:space="preserve">and growth </w:t>
            </w:r>
            <w:r>
              <w:t>ensuring that it is evolutionary</w:t>
            </w:r>
            <w:r w:rsidR="00F16665">
              <w:t xml:space="preserve"> in </w:t>
            </w:r>
            <w:r w:rsidR="00210F20">
              <w:t>level of involvement</w:t>
            </w:r>
            <w:r>
              <w:t xml:space="preserve">, managed sensitively and </w:t>
            </w:r>
            <w:r w:rsidR="00AB2574">
              <w:t xml:space="preserve">takes into account </w:t>
            </w:r>
            <w:r>
              <w:t>Centre capacities</w:t>
            </w:r>
            <w:r w:rsidR="00843087">
              <w:t xml:space="preserve">, </w:t>
            </w:r>
            <w:r w:rsidR="00AB2574">
              <w:t xml:space="preserve">organisational </w:t>
            </w:r>
            <w:r w:rsidR="00843087">
              <w:t xml:space="preserve">and local </w:t>
            </w:r>
            <w:r w:rsidR="00AB2574">
              <w:lastRenderedPageBreak/>
              <w:t>culture</w:t>
            </w:r>
            <w:r>
              <w:t>.</w:t>
            </w:r>
          </w:p>
          <w:p w14:paraId="6D7F3CEB" w14:textId="77777777" w:rsidR="00AA7D1D" w:rsidRDefault="00AA7D1D"/>
        </w:tc>
        <w:tc>
          <w:tcPr>
            <w:tcW w:w="4037" w:type="dxa"/>
          </w:tcPr>
          <w:p w14:paraId="4550F663" w14:textId="7DD45B92" w:rsidR="00AA7D1D" w:rsidRPr="000F3977" w:rsidRDefault="000F3977" w:rsidP="00843087">
            <w:pPr>
              <w:pStyle w:val="BodyText"/>
              <w:rPr>
                <w:sz w:val="22"/>
              </w:rPr>
            </w:pPr>
            <w:r w:rsidRPr="00D03516">
              <w:rPr>
                <w:rFonts w:asciiTheme="minorHAnsi" w:hAnsiTheme="minorHAnsi"/>
                <w:sz w:val="22"/>
              </w:rPr>
              <w:lastRenderedPageBreak/>
              <w:t>The Centres Structure and Function Review offers the opportunity for willing Centres</w:t>
            </w:r>
            <w:r w:rsidR="00016C5B" w:rsidRPr="00D03516">
              <w:rPr>
                <w:rFonts w:asciiTheme="minorHAnsi" w:hAnsiTheme="minorHAnsi"/>
                <w:sz w:val="22"/>
              </w:rPr>
              <w:t xml:space="preserve"> and Branches</w:t>
            </w:r>
            <w:r w:rsidRPr="00D03516">
              <w:rPr>
                <w:rFonts w:asciiTheme="minorHAnsi" w:hAnsiTheme="minorHAnsi"/>
                <w:sz w:val="22"/>
              </w:rPr>
              <w:t xml:space="preserve"> to develop their role in supporting consumer involvement. </w:t>
            </w:r>
            <w:r w:rsidR="00902812" w:rsidRPr="00902812">
              <w:rPr>
                <w:rFonts w:asciiTheme="minorHAnsi" w:hAnsiTheme="minorHAnsi"/>
                <w:sz w:val="22"/>
              </w:rPr>
              <w:t>Important r</w:t>
            </w:r>
            <w:r w:rsidRPr="00902812">
              <w:rPr>
                <w:rFonts w:asciiTheme="minorHAnsi" w:hAnsiTheme="minorHAnsi"/>
                <w:sz w:val="22"/>
              </w:rPr>
              <w:t xml:space="preserve">oles </w:t>
            </w:r>
            <w:r w:rsidR="00902812" w:rsidRPr="00902812">
              <w:rPr>
                <w:rFonts w:asciiTheme="minorHAnsi" w:hAnsiTheme="minorHAnsi"/>
                <w:sz w:val="22"/>
              </w:rPr>
              <w:t xml:space="preserve">for Centres </w:t>
            </w:r>
            <w:r w:rsidRPr="00902812">
              <w:rPr>
                <w:rFonts w:asciiTheme="minorHAnsi" w:hAnsiTheme="minorHAnsi"/>
                <w:sz w:val="22"/>
              </w:rPr>
              <w:t xml:space="preserve">could include linking their role in promoting evidence based medicine to </w:t>
            </w:r>
            <w:r w:rsidR="00843087" w:rsidRPr="00902812">
              <w:rPr>
                <w:rFonts w:asciiTheme="minorHAnsi" w:hAnsiTheme="minorHAnsi"/>
                <w:sz w:val="22"/>
              </w:rPr>
              <w:t xml:space="preserve">developing </w:t>
            </w:r>
            <w:r w:rsidRPr="00902812">
              <w:rPr>
                <w:rFonts w:asciiTheme="minorHAnsi" w:hAnsiTheme="minorHAnsi"/>
                <w:sz w:val="22"/>
              </w:rPr>
              <w:t>partnership</w:t>
            </w:r>
            <w:r w:rsidR="00843087" w:rsidRPr="00902812">
              <w:rPr>
                <w:rFonts w:asciiTheme="minorHAnsi" w:hAnsiTheme="minorHAnsi"/>
                <w:sz w:val="22"/>
              </w:rPr>
              <w:t xml:space="preserve">s </w:t>
            </w:r>
            <w:r w:rsidRPr="00902812">
              <w:rPr>
                <w:rFonts w:asciiTheme="minorHAnsi" w:hAnsiTheme="minorHAnsi"/>
                <w:sz w:val="22"/>
              </w:rPr>
              <w:t>for consumer involvement, recruitment, training, support, networking (at symposia and other events) and the involvement of consumers in dissemination activities</w:t>
            </w:r>
            <w:r w:rsidRPr="00D03516">
              <w:rPr>
                <w:rFonts w:asciiTheme="minorHAnsi" w:hAnsiTheme="minorHAnsi"/>
                <w:sz w:val="22"/>
              </w:rPr>
              <w:t xml:space="preserve">. Not all Centres will be in a position to undertake this work. Involvement will need to be </w:t>
            </w:r>
            <w:r w:rsidRPr="00D03516">
              <w:rPr>
                <w:rFonts w:asciiTheme="minorHAnsi" w:hAnsiTheme="minorHAnsi"/>
                <w:sz w:val="22"/>
              </w:rPr>
              <w:lastRenderedPageBreak/>
              <w:t>managed sensitively to reflect local culture, language, research</w:t>
            </w:r>
            <w:r w:rsidR="00843087">
              <w:rPr>
                <w:rFonts w:asciiTheme="minorHAnsi" w:hAnsiTheme="minorHAnsi"/>
                <w:sz w:val="22"/>
              </w:rPr>
              <w:t xml:space="preserve"> environment</w:t>
            </w:r>
            <w:r w:rsidRPr="00D03516">
              <w:rPr>
                <w:rFonts w:asciiTheme="minorHAnsi" w:hAnsiTheme="minorHAnsi"/>
                <w:sz w:val="22"/>
              </w:rPr>
              <w:t>, funding and health services</w:t>
            </w:r>
            <w:r>
              <w:rPr>
                <w:sz w:val="22"/>
              </w:rPr>
              <w:t xml:space="preserve"> </w:t>
            </w:r>
            <w:r w:rsidRPr="00D03516">
              <w:rPr>
                <w:rFonts w:asciiTheme="minorHAnsi" w:hAnsiTheme="minorHAnsi"/>
                <w:sz w:val="22"/>
              </w:rPr>
              <w:t xml:space="preserve">priorities. A key element will be to engage </w:t>
            </w:r>
            <w:r w:rsidR="00843087">
              <w:rPr>
                <w:rFonts w:asciiTheme="minorHAnsi" w:hAnsiTheme="minorHAnsi"/>
                <w:sz w:val="22"/>
              </w:rPr>
              <w:t xml:space="preserve">collaboratively </w:t>
            </w:r>
            <w:r w:rsidRPr="00D03516">
              <w:rPr>
                <w:rFonts w:asciiTheme="minorHAnsi" w:hAnsiTheme="minorHAnsi"/>
                <w:sz w:val="22"/>
              </w:rPr>
              <w:t xml:space="preserve">with each </w:t>
            </w:r>
            <w:r w:rsidR="00843087">
              <w:rPr>
                <w:rFonts w:asciiTheme="minorHAnsi" w:hAnsiTheme="minorHAnsi"/>
                <w:sz w:val="22"/>
              </w:rPr>
              <w:t>c</w:t>
            </w:r>
            <w:r w:rsidR="00843087" w:rsidRPr="00D03516">
              <w:rPr>
                <w:rFonts w:asciiTheme="minorHAnsi" w:hAnsiTheme="minorHAnsi"/>
                <w:sz w:val="22"/>
              </w:rPr>
              <w:t>entre</w:t>
            </w:r>
            <w:r w:rsidR="00843087">
              <w:rPr>
                <w:rFonts w:asciiTheme="minorHAnsi" w:hAnsiTheme="minorHAnsi"/>
                <w:sz w:val="22"/>
              </w:rPr>
              <w:t xml:space="preserve"> </w:t>
            </w:r>
            <w:r w:rsidRPr="00D03516">
              <w:rPr>
                <w:rFonts w:asciiTheme="minorHAnsi" w:hAnsiTheme="minorHAnsi"/>
                <w:sz w:val="22"/>
              </w:rPr>
              <w:t xml:space="preserve">to </w:t>
            </w:r>
            <w:r w:rsidR="00843087">
              <w:rPr>
                <w:rFonts w:asciiTheme="minorHAnsi" w:hAnsiTheme="minorHAnsi"/>
                <w:sz w:val="22"/>
              </w:rPr>
              <w:t xml:space="preserve">assess capacity and </w:t>
            </w:r>
            <w:r w:rsidRPr="00D03516">
              <w:rPr>
                <w:rFonts w:asciiTheme="minorHAnsi" w:hAnsiTheme="minorHAnsi"/>
                <w:sz w:val="22"/>
              </w:rPr>
              <w:t xml:space="preserve">develop </w:t>
            </w:r>
            <w:r w:rsidR="00843087">
              <w:rPr>
                <w:rFonts w:asciiTheme="minorHAnsi" w:hAnsiTheme="minorHAnsi"/>
                <w:sz w:val="22"/>
              </w:rPr>
              <w:t xml:space="preserve">appropriate </w:t>
            </w:r>
            <w:r w:rsidRPr="00D03516">
              <w:rPr>
                <w:rFonts w:asciiTheme="minorHAnsi" w:hAnsiTheme="minorHAnsi"/>
                <w:sz w:val="22"/>
              </w:rPr>
              <w:t>ways of work</w:t>
            </w:r>
            <w:r w:rsidR="00843087">
              <w:rPr>
                <w:rFonts w:asciiTheme="minorHAnsi" w:hAnsiTheme="minorHAnsi"/>
                <w:sz w:val="22"/>
              </w:rPr>
              <w:t>ing</w:t>
            </w:r>
            <w:r w:rsidR="00F16665">
              <w:rPr>
                <w:rFonts w:asciiTheme="minorHAnsi" w:hAnsiTheme="minorHAnsi"/>
                <w:sz w:val="22"/>
              </w:rPr>
              <w:t xml:space="preserve"> collaboratively</w:t>
            </w:r>
            <w:r w:rsidR="00843087">
              <w:rPr>
                <w:rFonts w:asciiTheme="minorHAnsi" w:hAnsiTheme="minorHAnsi"/>
                <w:sz w:val="22"/>
              </w:rPr>
              <w:t xml:space="preserve">. </w:t>
            </w:r>
            <w:r w:rsidRPr="00D03516">
              <w:rPr>
                <w:rFonts w:asciiTheme="minorHAnsi" w:hAnsiTheme="minorHAnsi"/>
                <w:sz w:val="22"/>
              </w:rPr>
              <w:t>Consideration will be given to establishing a “Challenge” fund to encourage capacity building within centres.</w:t>
            </w:r>
          </w:p>
        </w:tc>
        <w:tc>
          <w:tcPr>
            <w:tcW w:w="2255" w:type="dxa"/>
            <w:gridSpan w:val="2"/>
          </w:tcPr>
          <w:p w14:paraId="4E0906E9" w14:textId="2D79AC07" w:rsidR="000F3977" w:rsidRDefault="000F3977">
            <w:r>
              <w:lastRenderedPageBreak/>
              <w:t>A Task Group  of key and interested stakeholders</w:t>
            </w:r>
            <w:r w:rsidR="00B82285">
              <w:t xml:space="preserve"> to be established</w:t>
            </w:r>
          </w:p>
          <w:p w14:paraId="4B5AF568" w14:textId="77777777" w:rsidR="00371D2D" w:rsidRDefault="00371D2D"/>
          <w:p w14:paraId="7B856BAC" w14:textId="77777777" w:rsidR="00AE4901" w:rsidRDefault="00371D2D">
            <w:r>
              <w:t xml:space="preserve">Financial resources, including a potential  </w:t>
            </w:r>
            <w:r w:rsidR="00AE4901">
              <w:t xml:space="preserve"> “Challenge Fund” to support building capacity for </w:t>
            </w:r>
            <w:r w:rsidR="00AB2574">
              <w:t xml:space="preserve">the </w:t>
            </w:r>
            <w:r w:rsidR="00AE4901">
              <w:t>enhanced Centre role.</w:t>
            </w:r>
          </w:p>
          <w:p w14:paraId="48809DF8" w14:textId="77777777" w:rsidR="000F3977" w:rsidRDefault="000F3977"/>
          <w:p w14:paraId="09390FEF" w14:textId="77777777" w:rsidR="00AA7D1D" w:rsidRDefault="00AA7D1D"/>
        </w:tc>
        <w:tc>
          <w:tcPr>
            <w:tcW w:w="2495" w:type="dxa"/>
          </w:tcPr>
          <w:p w14:paraId="6D24F952" w14:textId="77777777" w:rsidR="00ED063F" w:rsidRDefault="009E2384" w:rsidP="00ED063F">
            <w:r>
              <w:t>A</w:t>
            </w:r>
            <w:r w:rsidR="00ED063F">
              <w:t>nalysis</w:t>
            </w:r>
            <w:r>
              <w:t xml:space="preserve"> of Centres’ </w:t>
            </w:r>
            <w:r w:rsidR="003630F5">
              <w:t>capacity.</w:t>
            </w:r>
          </w:p>
          <w:p w14:paraId="774EBC73" w14:textId="3E486FBB" w:rsidR="00ED063F" w:rsidRDefault="00ED063F" w:rsidP="00ED063F">
            <w:r>
              <w:t xml:space="preserve">Pilot </w:t>
            </w:r>
            <w:r w:rsidR="003E3E64">
              <w:t>activ</w:t>
            </w:r>
            <w:r w:rsidR="003630F5">
              <w:t>ity</w:t>
            </w:r>
            <w:r w:rsidR="00AE4901">
              <w:t xml:space="preserve"> with</w:t>
            </w:r>
            <w:r>
              <w:t xml:space="preserve"> one willing Centre in 2016</w:t>
            </w:r>
            <w:r w:rsidR="00B82285">
              <w:t xml:space="preserve"> with r</w:t>
            </w:r>
            <w:r>
              <w:t xml:space="preserve">oll out to three </w:t>
            </w:r>
            <w:r w:rsidR="00B82285">
              <w:t xml:space="preserve">planned </w:t>
            </w:r>
            <w:r>
              <w:t>from 2017</w:t>
            </w:r>
            <w:r w:rsidR="00AE4901">
              <w:t>.</w:t>
            </w:r>
          </w:p>
        </w:tc>
        <w:tc>
          <w:tcPr>
            <w:tcW w:w="2061" w:type="dxa"/>
          </w:tcPr>
          <w:p w14:paraId="22A08D74" w14:textId="77777777" w:rsidR="00ED063F" w:rsidRDefault="00ED063F" w:rsidP="00ED063F">
            <w:r>
              <w:t>Task Group established January 2016</w:t>
            </w:r>
          </w:p>
          <w:p w14:paraId="045F506B" w14:textId="637F6A26" w:rsidR="00AA7D1D" w:rsidRDefault="00902812" w:rsidP="00ED063F">
            <w:r>
              <w:t>A</w:t>
            </w:r>
            <w:r w:rsidR="00ED063F">
              <w:t>nalysis b</w:t>
            </w:r>
            <w:r w:rsidR="00BB5C3B">
              <w:t xml:space="preserve">egins </w:t>
            </w:r>
            <w:r w:rsidR="00ED063F">
              <w:t xml:space="preserve">March </w:t>
            </w:r>
            <w:r w:rsidR="00BB5C3B">
              <w:t>2016</w:t>
            </w:r>
            <w:r w:rsidR="00ED063F">
              <w:t>, completed June 2016</w:t>
            </w:r>
          </w:p>
          <w:p w14:paraId="579CD1F7" w14:textId="77777777" w:rsidR="00ED063F" w:rsidRDefault="00ED063F" w:rsidP="00ED063F">
            <w:r>
              <w:t>Pilot activity begins June 2016</w:t>
            </w:r>
          </w:p>
          <w:p w14:paraId="362FDA4E" w14:textId="77777777" w:rsidR="00ED063F" w:rsidRDefault="00ED063F" w:rsidP="00ED063F">
            <w:r>
              <w:t>Rolled out to three 2017 and more thereafter</w:t>
            </w:r>
          </w:p>
        </w:tc>
      </w:tr>
      <w:tr w:rsidR="00AA7D1D" w14:paraId="29B7AEC0" w14:textId="77777777" w:rsidTr="009661D6">
        <w:tc>
          <w:tcPr>
            <w:tcW w:w="810" w:type="dxa"/>
          </w:tcPr>
          <w:p w14:paraId="1C99408C"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lastRenderedPageBreak/>
              <w:t>2.3</w:t>
            </w:r>
          </w:p>
        </w:tc>
        <w:tc>
          <w:tcPr>
            <w:tcW w:w="2756" w:type="dxa"/>
          </w:tcPr>
          <w:p w14:paraId="3E4E0B08" w14:textId="77777777" w:rsidR="00AA7D1D" w:rsidRDefault="00AA7D1D" w:rsidP="00DB1D7E">
            <w:r>
              <w:t>Establish a network of “Consumer Champions” to promote consumer involvement through Centres and Branches</w:t>
            </w:r>
          </w:p>
          <w:p w14:paraId="530A1962" w14:textId="77777777" w:rsidR="00AA7D1D" w:rsidRDefault="00AA7D1D" w:rsidP="007F52D8"/>
        </w:tc>
        <w:tc>
          <w:tcPr>
            <w:tcW w:w="4037" w:type="dxa"/>
          </w:tcPr>
          <w:p w14:paraId="457C9885" w14:textId="7603B224" w:rsidR="00AA7D1D" w:rsidRDefault="00D03516" w:rsidP="002436AB">
            <w:r>
              <w:t>Essential to the development of consumer involvement within Centres and Branches will be the identification of “Consumer Champions”.</w:t>
            </w:r>
            <w:r w:rsidR="00ED063F">
              <w:t xml:space="preserve"> </w:t>
            </w:r>
            <w:r w:rsidR="00AE4901">
              <w:t xml:space="preserve">Initial work will </w:t>
            </w:r>
            <w:r w:rsidR="00B82285">
              <w:t>focus</w:t>
            </w:r>
            <w:r w:rsidR="00AE4901">
              <w:t xml:space="preserve"> on establishing the task group described in 2.2., then defining the role, and </w:t>
            </w:r>
            <w:r w:rsidR="00B82285">
              <w:t>desired consumer</w:t>
            </w:r>
            <w:r w:rsidR="00AE4901">
              <w:t xml:space="preserve"> </w:t>
            </w:r>
            <w:r w:rsidR="00B82285">
              <w:t>qualifications</w:t>
            </w:r>
            <w:r w:rsidR="00AE4901">
              <w:t xml:space="preserve">. </w:t>
            </w:r>
            <w:r w:rsidR="00ED063F">
              <w:t>A Champion will be identified in each Centre/Branch initially as an opportunity to establish lines of communication</w:t>
            </w:r>
            <w:r w:rsidR="00AE4901">
              <w:t xml:space="preserve"> and subsequently to be involved in the </w:t>
            </w:r>
            <w:r w:rsidR="00B82285">
              <w:t>implementation</w:t>
            </w:r>
            <w:r w:rsidR="00AE4901">
              <w:t xml:space="preserve"> of enhanced Centre/Branch roles</w:t>
            </w:r>
            <w:r w:rsidR="002436AB">
              <w:t>.</w:t>
            </w:r>
          </w:p>
        </w:tc>
        <w:tc>
          <w:tcPr>
            <w:tcW w:w="2255" w:type="dxa"/>
            <w:gridSpan w:val="2"/>
          </w:tcPr>
          <w:p w14:paraId="57F410F0" w14:textId="77777777" w:rsidR="00AA7D1D" w:rsidRDefault="00AE4901">
            <w:r w:rsidRPr="00AE4901">
              <w:t>A Task Group to be established of key and interested stakeholders</w:t>
            </w:r>
            <w:r>
              <w:t xml:space="preserve"> as above</w:t>
            </w:r>
            <w:r w:rsidRPr="00AE4901">
              <w:t>.</w:t>
            </w:r>
          </w:p>
        </w:tc>
        <w:tc>
          <w:tcPr>
            <w:tcW w:w="2495" w:type="dxa"/>
          </w:tcPr>
          <w:p w14:paraId="493AB33C" w14:textId="06D60625" w:rsidR="00AA7D1D" w:rsidRDefault="00AE4901">
            <w:r>
              <w:t>Role descriptor and specifications for Consumer Champion role.</w:t>
            </w:r>
          </w:p>
          <w:p w14:paraId="6BFADBC9" w14:textId="77777777" w:rsidR="00AE4901" w:rsidRDefault="00AE4901">
            <w:r>
              <w:t>Network of Consumer Champions established.</w:t>
            </w:r>
          </w:p>
        </w:tc>
        <w:tc>
          <w:tcPr>
            <w:tcW w:w="2061" w:type="dxa"/>
          </w:tcPr>
          <w:p w14:paraId="11CEA9CE" w14:textId="77777777" w:rsidR="00AE4901" w:rsidRDefault="00AE4901">
            <w:r>
              <w:t>Establish Task Group as in 2.1 January 2016</w:t>
            </w:r>
          </w:p>
          <w:p w14:paraId="4054FA02" w14:textId="77777777" w:rsidR="00AE4901" w:rsidRDefault="00AE4901" w:rsidP="00AE4901">
            <w:r>
              <w:t>Begin work in developing role descriptor and person spec in March 2106.</w:t>
            </w:r>
          </w:p>
          <w:p w14:paraId="17080515" w14:textId="77777777" w:rsidR="00AA7D1D" w:rsidRDefault="00AE4901" w:rsidP="00AE4901">
            <w:r>
              <w:t xml:space="preserve">Recruit to roles from June 2016 and in place by October 2016. </w:t>
            </w:r>
          </w:p>
        </w:tc>
      </w:tr>
      <w:tr w:rsidR="00AA7D1D" w14:paraId="37E94418" w14:textId="77777777" w:rsidTr="009661D6">
        <w:tc>
          <w:tcPr>
            <w:tcW w:w="810" w:type="dxa"/>
          </w:tcPr>
          <w:p w14:paraId="06B7D777"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2.4</w:t>
            </w:r>
          </w:p>
        </w:tc>
        <w:tc>
          <w:tcPr>
            <w:tcW w:w="2756" w:type="dxa"/>
          </w:tcPr>
          <w:p w14:paraId="55D1B04B" w14:textId="425EF5A4" w:rsidR="00AA7D1D" w:rsidRDefault="00AA7D1D" w:rsidP="007F52D8">
            <w:r>
              <w:t>Develop a reformed Consumer Network Executive and ensuring a smooth transition from the existing network</w:t>
            </w:r>
            <w:r w:rsidR="00C20FA7">
              <w:t xml:space="preserve"> </w:t>
            </w:r>
            <w:r w:rsidR="00B82285">
              <w:t>structur</w:t>
            </w:r>
            <w:r w:rsidR="00C20FA7">
              <w:t>e.</w:t>
            </w:r>
          </w:p>
          <w:p w14:paraId="686512B2" w14:textId="77777777" w:rsidR="00AA7D1D" w:rsidRDefault="00AA7D1D" w:rsidP="007F52D8"/>
        </w:tc>
        <w:tc>
          <w:tcPr>
            <w:tcW w:w="4037" w:type="dxa"/>
          </w:tcPr>
          <w:p w14:paraId="088B349F" w14:textId="0827B27D" w:rsidR="00AA7D1D" w:rsidRDefault="00AE4901" w:rsidP="00BB19A5">
            <w:r>
              <w:t xml:space="preserve">The Consumer Executive </w:t>
            </w:r>
            <w:r w:rsidR="00BB19A5">
              <w:t xml:space="preserve">is a small voluntary group </w:t>
            </w:r>
            <w:r w:rsidR="00864FF8">
              <w:t>and as</w:t>
            </w:r>
            <w:r w:rsidR="00BB19A5">
              <w:t xml:space="preserve"> such </w:t>
            </w:r>
            <w:r>
              <w:t>struggles to engage with the wider Cochrane network</w:t>
            </w:r>
            <w:r w:rsidR="00BB19A5">
              <w:t xml:space="preserve"> effectively.  It has no formal links with the network of Centres or review groups.  </w:t>
            </w:r>
            <w:r w:rsidR="001F1431">
              <w:t xml:space="preserve">Improving and/or creating formal links between Centres and the C.E </w:t>
            </w:r>
            <w:r>
              <w:t xml:space="preserve">will help improve communication, understanding, and build better relationships. During 2016 the CE will examine options for </w:t>
            </w:r>
            <w:r w:rsidR="001F1431">
              <w:t>CE re-structuring and will</w:t>
            </w:r>
            <w:r>
              <w:t xml:space="preserve"> develop proposals, </w:t>
            </w:r>
            <w:r w:rsidR="00864FF8">
              <w:t>and consult</w:t>
            </w:r>
            <w:r>
              <w:t xml:space="preserve"> upon them with a view to implementation from 2017.</w:t>
            </w:r>
          </w:p>
        </w:tc>
        <w:tc>
          <w:tcPr>
            <w:tcW w:w="2255" w:type="dxa"/>
            <w:gridSpan w:val="2"/>
          </w:tcPr>
          <w:p w14:paraId="5F6E7833" w14:textId="77777777" w:rsidR="00AA7D1D" w:rsidRDefault="00AA7D1D"/>
        </w:tc>
        <w:tc>
          <w:tcPr>
            <w:tcW w:w="2495" w:type="dxa"/>
          </w:tcPr>
          <w:p w14:paraId="2C061E76" w14:textId="75F70986" w:rsidR="00AA7D1D" w:rsidRDefault="00AE4901">
            <w:r>
              <w:t>Proposals developed for a</w:t>
            </w:r>
            <w:r w:rsidR="001F1431">
              <w:t xml:space="preserve"> re-structured </w:t>
            </w:r>
            <w:r>
              <w:t>CE.</w:t>
            </w:r>
          </w:p>
          <w:p w14:paraId="01CB57DB" w14:textId="77777777" w:rsidR="00AE4901" w:rsidRDefault="00AE4901">
            <w:r>
              <w:t>Implementation from 2017.</w:t>
            </w:r>
          </w:p>
          <w:p w14:paraId="70F62EDE" w14:textId="77777777" w:rsidR="00AE4901" w:rsidRDefault="00AE4901">
            <w:r>
              <w:t>Consultation on proposals.</w:t>
            </w:r>
          </w:p>
          <w:p w14:paraId="2F70F157" w14:textId="77777777" w:rsidR="00AE4901" w:rsidRDefault="00AE4901">
            <w:r>
              <w:t xml:space="preserve">New CE established from </w:t>
            </w:r>
            <w:r w:rsidR="00CD3561">
              <w:t xml:space="preserve">March </w:t>
            </w:r>
            <w:r>
              <w:t>2017.</w:t>
            </w:r>
          </w:p>
        </w:tc>
        <w:tc>
          <w:tcPr>
            <w:tcW w:w="2061" w:type="dxa"/>
          </w:tcPr>
          <w:p w14:paraId="1AE7565F" w14:textId="77777777" w:rsidR="00AA7D1D" w:rsidRDefault="00864FF8">
            <w:r>
              <w:t>Begins March 2016</w:t>
            </w:r>
            <w:r w:rsidR="00AE4901">
              <w:t xml:space="preserve"> with implementation from March 2017.</w:t>
            </w:r>
          </w:p>
        </w:tc>
      </w:tr>
      <w:tr w:rsidR="00AA7D1D" w14:paraId="1A7F2107" w14:textId="77777777" w:rsidTr="009661D6">
        <w:tc>
          <w:tcPr>
            <w:tcW w:w="810" w:type="dxa"/>
          </w:tcPr>
          <w:p w14:paraId="0AE60E6F"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2.5</w:t>
            </w:r>
          </w:p>
        </w:tc>
        <w:tc>
          <w:tcPr>
            <w:tcW w:w="2756" w:type="dxa"/>
          </w:tcPr>
          <w:p w14:paraId="36C47744" w14:textId="1430E299" w:rsidR="00AA7D1D" w:rsidRDefault="00371D2D" w:rsidP="007F52D8">
            <w:r>
              <w:t>Develop an understanding</w:t>
            </w:r>
            <w:r w:rsidR="00AA7D1D">
              <w:t xml:space="preserve"> of current capacity and activity within regions and develop an action plan based on the results of the Structure and Function Review and Strategy to 2020</w:t>
            </w:r>
            <w:r w:rsidR="001F1431">
              <w:t>. S</w:t>
            </w:r>
            <w:r w:rsidR="00AA7D1D">
              <w:t xml:space="preserve">upport the </w:t>
            </w:r>
            <w:r w:rsidR="001F1431">
              <w:t>increase</w:t>
            </w:r>
            <w:r w:rsidR="00AA7D1D">
              <w:t xml:space="preserve"> of consumer involvement, with systems for monitoring progress against objectives.</w:t>
            </w:r>
          </w:p>
          <w:p w14:paraId="2A20355C" w14:textId="77777777" w:rsidR="00AA7D1D" w:rsidRDefault="00AA7D1D"/>
        </w:tc>
        <w:tc>
          <w:tcPr>
            <w:tcW w:w="4037" w:type="dxa"/>
          </w:tcPr>
          <w:p w14:paraId="30ABD31B" w14:textId="77C08397" w:rsidR="00AA7D1D" w:rsidRDefault="00371D2D" w:rsidP="00371D2D">
            <w:r>
              <w:t>Undertake an analysis of Cochrane</w:t>
            </w:r>
            <w:r w:rsidR="007F242A">
              <w:t xml:space="preserve"> Centre</w:t>
            </w:r>
            <w:r>
              <w:t xml:space="preserve">s’ capacity </w:t>
            </w:r>
            <w:r w:rsidR="009C7C2A">
              <w:t xml:space="preserve">to support </w:t>
            </w:r>
            <w:r>
              <w:t xml:space="preserve">consumer involvement-related activity. The analysis will include resources, partnership arrangements, current activities (engagement, training etc.), and examples of good practice. Subsequently </w:t>
            </w:r>
            <w:r w:rsidR="007F242A">
              <w:t xml:space="preserve">in partnership with Centres, Branches, Consumer Champions and CRGs, it is proposed to develop a targeted programme of work in priority regions to enhance consumer involvement. This will include as a priority, targeted recruitment, and </w:t>
            </w:r>
            <w:r w:rsidR="00C20FA7">
              <w:t>increased</w:t>
            </w:r>
            <w:r w:rsidR="007F242A">
              <w:t xml:space="preserve"> support</w:t>
            </w:r>
            <w:r w:rsidR="00C20FA7">
              <w:t xml:space="preserve"> for consumers and Centre staff</w:t>
            </w:r>
            <w:r w:rsidR="007F242A">
              <w:t xml:space="preserve"> </w:t>
            </w:r>
            <w:r w:rsidR="009C7C2A">
              <w:t xml:space="preserve">using </w:t>
            </w:r>
            <w:r w:rsidR="007F242A">
              <w:t>the new training resources being developed at 5.1 to 5.5.</w:t>
            </w:r>
          </w:p>
          <w:p w14:paraId="4ACE6DA1" w14:textId="77777777" w:rsidR="00A41D25" w:rsidRDefault="00A41D25" w:rsidP="00371D2D"/>
          <w:p w14:paraId="6C508384" w14:textId="77777777" w:rsidR="00A41D25" w:rsidRDefault="00A41D25" w:rsidP="00371D2D"/>
          <w:p w14:paraId="67D24A79" w14:textId="77777777" w:rsidR="00A41D25" w:rsidRDefault="00A41D25" w:rsidP="00371D2D"/>
          <w:p w14:paraId="097FF6FA" w14:textId="77777777" w:rsidR="00A41D25" w:rsidRDefault="00A41D25" w:rsidP="00371D2D"/>
          <w:p w14:paraId="0D328155" w14:textId="77777777" w:rsidR="00A41D25" w:rsidRDefault="00A41D25" w:rsidP="00371D2D"/>
          <w:p w14:paraId="6598494E" w14:textId="77777777" w:rsidR="00A41D25" w:rsidRDefault="00A41D25" w:rsidP="00371D2D"/>
        </w:tc>
        <w:tc>
          <w:tcPr>
            <w:tcW w:w="2255" w:type="dxa"/>
            <w:gridSpan w:val="2"/>
          </w:tcPr>
          <w:p w14:paraId="1E4134B7" w14:textId="77777777" w:rsidR="00AA7D1D" w:rsidRDefault="00D80E8A">
            <w:r w:rsidRPr="00AE4901">
              <w:t>A Task Group to be established of key and interested stakeholders</w:t>
            </w:r>
            <w:r>
              <w:t xml:space="preserve"> as above</w:t>
            </w:r>
            <w:r w:rsidRPr="00AE4901">
              <w:t>.</w:t>
            </w:r>
          </w:p>
        </w:tc>
        <w:tc>
          <w:tcPr>
            <w:tcW w:w="2495" w:type="dxa"/>
          </w:tcPr>
          <w:p w14:paraId="4690223A" w14:textId="77777777" w:rsidR="000D4AFF" w:rsidRDefault="000D4AFF">
            <w:r>
              <w:t>A completed analysis of the capacity of Centres to undertake consumer involvement activities.</w:t>
            </w:r>
          </w:p>
          <w:p w14:paraId="227DEB6E" w14:textId="77777777" w:rsidR="000D4AFF" w:rsidRDefault="000D4AFF">
            <w:r>
              <w:t>Good practice examples.</w:t>
            </w:r>
          </w:p>
          <w:p w14:paraId="53BDA510" w14:textId="2F85410D" w:rsidR="000D4AFF" w:rsidRDefault="000D4AFF">
            <w:r>
              <w:t xml:space="preserve">A priority list of Centres willing to </w:t>
            </w:r>
            <w:r w:rsidR="001F1431">
              <w:t>move</w:t>
            </w:r>
            <w:r>
              <w:t xml:space="preserve"> forward </w:t>
            </w:r>
            <w:r w:rsidR="001F1431">
              <w:t xml:space="preserve">with increased </w:t>
            </w:r>
            <w:r>
              <w:t>consumer involvement.</w:t>
            </w:r>
          </w:p>
          <w:p w14:paraId="2D72494E" w14:textId="77777777" w:rsidR="00D80E8A" w:rsidRDefault="00D80E8A"/>
        </w:tc>
        <w:tc>
          <w:tcPr>
            <w:tcW w:w="2061" w:type="dxa"/>
          </w:tcPr>
          <w:p w14:paraId="1472FDCB" w14:textId="77777777" w:rsidR="00AA7D1D" w:rsidRDefault="00D80E8A">
            <w:r>
              <w:t>Begins March 2017.</w:t>
            </w:r>
          </w:p>
        </w:tc>
      </w:tr>
      <w:tr w:rsidR="006F1364" w:rsidRPr="006F1364" w14:paraId="41360070" w14:textId="77777777" w:rsidTr="009661D6">
        <w:tc>
          <w:tcPr>
            <w:tcW w:w="14414" w:type="dxa"/>
            <w:gridSpan w:val="7"/>
            <w:shd w:val="clear" w:color="auto" w:fill="F2F2F2" w:themeFill="background1" w:themeFillShade="F2"/>
          </w:tcPr>
          <w:p w14:paraId="1A22B993" w14:textId="77777777" w:rsidR="006F1364" w:rsidRPr="002A4631" w:rsidRDefault="00BE3268" w:rsidP="00BE3268">
            <w:pPr>
              <w:spacing w:line="420" w:lineRule="exact"/>
              <w:rPr>
                <w:rFonts w:ascii="Source Sans Pro" w:eastAsia="Source Sans Pro Semibold" w:hAnsi="Source Sans Pro" w:cs="Times New Roman"/>
                <w:b/>
                <w:color w:val="962D91"/>
                <w:sz w:val="28"/>
                <w:szCs w:val="28"/>
              </w:rPr>
            </w:pPr>
            <w:r>
              <w:rPr>
                <w:rFonts w:ascii="Source Sans Pro" w:eastAsia="Source Sans Pro Semibold" w:hAnsi="Source Sans Pro" w:cs="Times New Roman"/>
                <w:b/>
                <w:color w:val="962D91"/>
                <w:sz w:val="28"/>
                <w:szCs w:val="28"/>
              </w:rPr>
              <w:t>Priority</w:t>
            </w:r>
            <w:r w:rsidR="006F1364" w:rsidRPr="002A4631">
              <w:rPr>
                <w:rFonts w:ascii="Source Sans Pro" w:eastAsia="Source Sans Pro Semibold" w:hAnsi="Source Sans Pro" w:cs="Times New Roman"/>
                <w:b/>
                <w:color w:val="962D91"/>
                <w:sz w:val="28"/>
                <w:szCs w:val="28"/>
              </w:rPr>
              <w:t xml:space="preserve"> 3.0 </w:t>
            </w:r>
            <w:r w:rsidR="00ED1E48" w:rsidRPr="00BB3554">
              <w:rPr>
                <w:rFonts w:ascii="Source Sans Pro" w:eastAsia="Source Sans Pro Semibold" w:hAnsi="Source Sans Pro" w:cs="Times New Roman"/>
                <w:b/>
                <w:color w:val="962D91"/>
                <w:sz w:val="28"/>
                <w:szCs w:val="28"/>
              </w:rPr>
              <w:t>Support consumer involvement throughout the entire review production and evidence dissemination process</w:t>
            </w:r>
            <w:r w:rsidR="00BE080B" w:rsidRPr="002A4631">
              <w:rPr>
                <w:rFonts w:ascii="Source Sans Pro" w:eastAsia="Source Sans Pro Semibold" w:hAnsi="Source Sans Pro" w:cs="Times New Roman"/>
                <w:b/>
                <w:color w:val="962D91"/>
                <w:sz w:val="28"/>
                <w:szCs w:val="28"/>
              </w:rPr>
              <w:t xml:space="preserve"> </w:t>
            </w:r>
          </w:p>
        </w:tc>
      </w:tr>
      <w:tr w:rsidR="00AA7D1D" w14:paraId="19789541" w14:textId="77777777" w:rsidTr="009661D6">
        <w:tc>
          <w:tcPr>
            <w:tcW w:w="810" w:type="dxa"/>
          </w:tcPr>
          <w:p w14:paraId="4FBB9FD4"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3.1</w:t>
            </w:r>
          </w:p>
        </w:tc>
        <w:tc>
          <w:tcPr>
            <w:tcW w:w="2756" w:type="dxa"/>
          </w:tcPr>
          <w:p w14:paraId="6BEF6B5E" w14:textId="65FDDF87" w:rsidR="00AA7D1D" w:rsidRDefault="00AA7D1D" w:rsidP="007F52D8">
            <w:r>
              <w:t>Develop improved communication with Revie</w:t>
            </w:r>
            <w:r w:rsidR="00BB0B38">
              <w:t>w Groups</w:t>
            </w:r>
            <w:r>
              <w:t xml:space="preserve"> about the needs of Review Groups and </w:t>
            </w:r>
            <w:r w:rsidR="00EC616C">
              <w:t>the consumer</w:t>
            </w:r>
            <w:r w:rsidR="009A2940">
              <w:t xml:space="preserve"> </w:t>
            </w:r>
            <w:r>
              <w:t>support that is available.</w:t>
            </w:r>
          </w:p>
          <w:p w14:paraId="5AF6EFCE" w14:textId="77777777" w:rsidR="00AA7D1D" w:rsidRDefault="00AA7D1D"/>
        </w:tc>
        <w:tc>
          <w:tcPr>
            <w:tcW w:w="4037" w:type="dxa"/>
          </w:tcPr>
          <w:p w14:paraId="4E5A9903" w14:textId="7760BC1E" w:rsidR="00AA7D1D" w:rsidRDefault="00BB0B38" w:rsidP="009C7C2A">
            <w:r>
              <w:t>Improved communication with Review Groups is crucial if consumer involvement is to be better integrated in</w:t>
            </w:r>
            <w:r w:rsidR="009C7C2A">
              <w:t>to</w:t>
            </w:r>
            <w:r>
              <w:t xml:space="preserve"> their work. Key issues include recruitment, support, training and crucially the development </w:t>
            </w:r>
            <w:r w:rsidR="00EC616C">
              <w:t>of consumer</w:t>
            </w:r>
            <w:r>
              <w:t xml:space="preserve"> involvement through</w:t>
            </w:r>
            <w:r w:rsidR="009C7C2A">
              <w:t>out</w:t>
            </w:r>
            <w:r>
              <w:t xml:space="preserve"> the </w:t>
            </w:r>
            <w:r w:rsidR="009C7C2A">
              <w:t>review process</w:t>
            </w:r>
            <w:r>
              <w:t>. Ways to Improve communication with MEs Executive and individual groups will be explored</w:t>
            </w:r>
          </w:p>
        </w:tc>
        <w:tc>
          <w:tcPr>
            <w:tcW w:w="2255" w:type="dxa"/>
            <w:gridSpan w:val="2"/>
          </w:tcPr>
          <w:p w14:paraId="04ACE681" w14:textId="77777777" w:rsidR="00AA7D1D" w:rsidRDefault="00AA7D1D"/>
        </w:tc>
        <w:tc>
          <w:tcPr>
            <w:tcW w:w="2495" w:type="dxa"/>
          </w:tcPr>
          <w:p w14:paraId="7813913E" w14:textId="77777777" w:rsidR="00AA7D1D" w:rsidRDefault="00BB0B38">
            <w:r>
              <w:t>Improved communication with Review Groups.</w:t>
            </w:r>
          </w:p>
          <w:p w14:paraId="21B7E213" w14:textId="77777777" w:rsidR="00BB0B38" w:rsidRDefault="00BB0B38">
            <w:r>
              <w:t>Agreed process put in place.</w:t>
            </w:r>
          </w:p>
        </w:tc>
        <w:tc>
          <w:tcPr>
            <w:tcW w:w="2061" w:type="dxa"/>
          </w:tcPr>
          <w:p w14:paraId="2668B1C5" w14:textId="77777777" w:rsidR="00AA7D1D" w:rsidRDefault="00BB0B38">
            <w:r>
              <w:t>Ongoing</w:t>
            </w:r>
          </w:p>
        </w:tc>
      </w:tr>
      <w:tr w:rsidR="00AA7D1D" w14:paraId="299157F2" w14:textId="77777777" w:rsidTr="009661D6">
        <w:tc>
          <w:tcPr>
            <w:tcW w:w="810" w:type="dxa"/>
          </w:tcPr>
          <w:p w14:paraId="4202AB6A"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3.2</w:t>
            </w:r>
          </w:p>
        </w:tc>
        <w:tc>
          <w:tcPr>
            <w:tcW w:w="2756" w:type="dxa"/>
          </w:tcPr>
          <w:p w14:paraId="7B76E250" w14:textId="08BE49B8" w:rsidR="00AA7D1D" w:rsidRDefault="00AA7D1D" w:rsidP="007F52D8">
            <w:r>
              <w:t xml:space="preserve">Work towards ensuring consumers are as representative as possible </w:t>
            </w:r>
            <w:r w:rsidR="009A2940">
              <w:t xml:space="preserve">with </w:t>
            </w:r>
            <w:r>
              <w:t xml:space="preserve">respect </w:t>
            </w:r>
            <w:r w:rsidR="009A2940">
              <w:t>to</w:t>
            </w:r>
            <w:r>
              <w:t xml:space="preserve"> gender, age, ethnicity, disability, sexual orientation, socio-economic </w:t>
            </w:r>
            <w:r w:rsidR="009A2940">
              <w:t>status</w:t>
            </w:r>
            <w:r>
              <w:t>, spoken language, and</w:t>
            </w:r>
            <w:r w:rsidR="009A2940">
              <w:t xml:space="preserve"> geographic location.</w:t>
            </w:r>
          </w:p>
          <w:p w14:paraId="1AD50AFB" w14:textId="77777777" w:rsidR="00AA7D1D" w:rsidRDefault="00AA7D1D" w:rsidP="007F52D8"/>
        </w:tc>
        <w:tc>
          <w:tcPr>
            <w:tcW w:w="4037" w:type="dxa"/>
          </w:tcPr>
          <w:p w14:paraId="7A12F2A8" w14:textId="6B35C6DA" w:rsidR="00AA7D1D" w:rsidRDefault="00BB0B38" w:rsidP="00822560">
            <w:r>
              <w:t xml:space="preserve">Consumers are known to be overwhelmingly </w:t>
            </w:r>
            <w:r w:rsidR="009A2940">
              <w:t xml:space="preserve">white, English-speaking, </w:t>
            </w:r>
            <w:r w:rsidR="00404331">
              <w:t xml:space="preserve">middle-aged </w:t>
            </w:r>
            <w:r>
              <w:t>female</w:t>
            </w:r>
            <w:r w:rsidR="00404331">
              <w:t>s from</w:t>
            </w:r>
            <w:r>
              <w:t xml:space="preserve"> developed </w:t>
            </w:r>
            <w:r w:rsidR="00404331">
              <w:t xml:space="preserve">countries and </w:t>
            </w:r>
            <w:r>
              <w:t xml:space="preserve">may </w:t>
            </w:r>
            <w:r w:rsidR="00BB3554">
              <w:t>not</w:t>
            </w:r>
            <w:r w:rsidR="00404331">
              <w:t xml:space="preserve"> be</w:t>
            </w:r>
            <w:r w:rsidR="00BB3554">
              <w:t xml:space="preserve"> representative of the wider population</w:t>
            </w:r>
            <w:r w:rsidR="00404331">
              <w:t>s</w:t>
            </w:r>
            <w:r>
              <w:t>. This is a barrier to effective consumer involvement in the production of research</w:t>
            </w:r>
            <w:r w:rsidR="006A47B7">
              <w:t xml:space="preserve"> that</w:t>
            </w:r>
            <w:r>
              <w:t xml:space="preserve"> </w:t>
            </w:r>
            <w:r w:rsidR="00404331">
              <w:t xml:space="preserve">is </w:t>
            </w:r>
            <w:r>
              <w:t xml:space="preserve">important to address </w:t>
            </w:r>
            <w:r w:rsidR="003A11A6">
              <w:t>Recruitment will be key (see 3.3)</w:t>
            </w:r>
            <w:r w:rsidR="006A47B7">
              <w:t xml:space="preserve"> to ensuring representativeness</w:t>
            </w:r>
            <w:r w:rsidR="00404331">
              <w:t xml:space="preserve"> but requires time.</w:t>
            </w:r>
            <w:r w:rsidR="003A11A6">
              <w:t xml:space="preserve"> </w:t>
            </w:r>
            <w:r w:rsidR="00404331">
              <w:t>The</w:t>
            </w:r>
            <w:r w:rsidR="003A11A6">
              <w:t xml:space="preserve"> issue needs to be explored </w:t>
            </w:r>
            <w:r w:rsidR="00A96E06">
              <w:t>and a strategy developed to identify</w:t>
            </w:r>
            <w:r w:rsidR="003A11A6">
              <w:t xml:space="preserve"> best </w:t>
            </w:r>
            <w:r w:rsidR="00A96E06">
              <w:t>practice</w:t>
            </w:r>
            <w:r w:rsidR="00822560">
              <w:t xml:space="preserve"> in recruitment. </w:t>
            </w:r>
            <w:r w:rsidR="00404331">
              <w:t>P</w:t>
            </w:r>
            <w:r w:rsidR="003A11A6">
              <w:t xml:space="preserve">rocesses </w:t>
            </w:r>
            <w:r w:rsidR="00404331">
              <w:t>must be</w:t>
            </w:r>
            <w:r w:rsidR="003A11A6">
              <w:t xml:space="preserve"> in place to record and monitor </w:t>
            </w:r>
            <w:r w:rsidR="00404331">
              <w:t>progress</w:t>
            </w:r>
            <w:r w:rsidR="003A11A6">
              <w:t>. A more diverse and representative consumer network is the ultimate goal.</w:t>
            </w:r>
          </w:p>
        </w:tc>
        <w:tc>
          <w:tcPr>
            <w:tcW w:w="2255" w:type="dxa"/>
            <w:gridSpan w:val="2"/>
          </w:tcPr>
          <w:p w14:paraId="43F40F11" w14:textId="77777777" w:rsidR="00AA7D1D" w:rsidRDefault="00AA7D1D"/>
        </w:tc>
        <w:tc>
          <w:tcPr>
            <w:tcW w:w="2495" w:type="dxa"/>
          </w:tcPr>
          <w:p w14:paraId="04F2D8B8" w14:textId="77777777" w:rsidR="00AA7D1D" w:rsidRDefault="00FD1FEB" w:rsidP="00FD1FEB">
            <w:r>
              <w:t>Recruitment Plan</w:t>
            </w:r>
            <w:r w:rsidR="00A96E06">
              <w:t xml:space="preserve"> for recruiting and involving a more diverse </w:t>
            </w:r>
            <w:r>
              <w:t>range</w:t>
            </w:r>
            <w:r w:rsidR="00A96E06">
              <w:t xml:space="preserve"> of consumers.</w:t>
            </w:r>
          </w:p>
        </w:tc>
        <w:tc>
          <w:tcPr>
            <w:tcW w:w="2061" w:type="dxa"/>
          </w:tcPr>
          <w:p w14:paraId="7370C0A4" w14:textId="77777777" w:rsidR="00AA7D1D" w:rsidRDefault="00A96E06">
            <w:r>
              <w:t>Begins March 2017.</w:t>
            </w:r>
          </w:p>
          <w:p w14:paraId="479B3D74" w14:textId="77777777" w:rsidR="00A96E06" w:rsidRDefault="00A96E06" w:rsidP="00A96E06">
            <w:r>
              <w:t>Strategy in place December 2017.</w:t>
            </w:r>
          </w:p>
        </w:tc>
      </w:tr>
      <w:tr w:rsidR="00AA7D1D" w14:paraId="4AAF5794" w14:textId="77777777" w:rsidTr="009661D6">
        <w:tc>
          <w:tcPr>
            <w:tcW w:w="810" w:type="dxa"/>
          </w:tcPr>
          <w:p w14:paraId="47E7995C"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3.3</w:t>
            </w:r>
          </w:p>
        </w:tc>
        <w:tc>
          <w:tcPr>
            <w:tcW w:w="2756" w:type="dxa"/>
          </w:tcPr>
          <w:p w14:paraId="1AF32BFA" w14:textId="77777777" w:rsidR="00AA7D1D" w:rsidRDefault="00AA7D1D" w:rsidP="007F52D8">
            <w:r>
              <w:t>Work with Review Groups</w:t>
            </w:r>
            <w:r w:rsidR="00BB3554">
              <w:t>, authors</w:t>
            </w:r>
            <w:r>
              <w:t xml:space="preserve"> and Centres in a phased and targeted programme of recruitment, especially in low-income and non-English speaking countries. </w:t>
            </w:r>
          </w:p>
          <w:p w14:paraId="7DEAC938" w14:textId="77777777" w:rsidR="00AA7D1D" w:rsidRDefault="00AA7D1D" w:rsidP="007F52D8"/>
        </w:tc>
        <w:tc>
          <w:tcPr>
            <w:tcW w:w="4037" w:type="dxa"/>
          </w:tcPr>
          <w:p w14:paraId="33365A69" w14:textId="36B23F43" w:rsidR="00AA7D1D" w:rsidRDefault="00A85EBA" w:rsidP="006A47B7">
            <w:r>
              <w:t xml:space="preserve">The 2015 SFR revealed the need for the recruitment of new consumers. </w:t>
            </w:r>
            <w:r w:rsidR="006A47B7">
              <w:t>In addition to the regular processes we have developed s</w:t>
            </w:r>
            <w:r>
              <w:t>ome limited</w:t>
            </w:r>
            <w:r w:rsidR="006A47B7">
              <w:t xml:space="preserve">, </w:t>
            </w:r>
            <w:r>
              <w:t>focused work can begin immediately where an urgent need is identified</w:t>
            </w:r>
            <w:r w:rsidR="006A47B7">
              <w:t xml:space="preserve"> </w:t>
            </w:r>
            <w:r w:rsidR="006D3E27">
              <w:t>However more sustained work will depend on, and benefit hugely from, a new relationship with Centres (see 2.2) the development of new learning</w:t>
            </w:r>
            <w:r w:rsidR="006A47B7">
              <w:t xml:space="preserve"> and support</w:t>
            </w:r>
            <w:r w:rsidR="006D3E27">
              <w:t xml:space="preserve"> resources (5.3), the new Membership Scheme (see 4.1), </w:t>
            </w:r>
            <w:r w:rsidR="006A47B7">
              <w:t xml:space="preserve">and </w:t>
            </w:r>
            <w:r w:rsidR="006D3E27">
              <w:t>new ways</w:t>
            </w:r>
            <w:r w:rsidR="006A47B7">
              <w:t xml:space="preserve"> for consumers</w:t>
            </w:r>
            <w:r w:rsidR="006D3E27">
              <w:t xml:space="preserve"> to get involved (</w:t>
            </w:r>
            <w:r w:rsidR="00C76DDD">
              <w:t>see 3.4</w:t>
            </w:r>
            <w:r w:rsidR="006D3E27">
              <w:t xml:space="preserve">). </w:t>
            </w:r>
            <w:r w:rsidR="006A47B7">
              <w:t>In the short term, m</w:t>
            </w:r>
            <w:r w:rsidR="006D3E27">
              <w:t xml:space="preserve">anaging expectations will be important. </w:t>
            </w:r>
            <w:r w:rsidR="00B459CE">
              <w:t>When appropriate</w:t>
            </w:r>
            <w:r w:rsidR="006D3E27">
              <w:t xml:space="preserve"> the CE will engage </w:t>
            </w:r>
            <w:r w:rsidR="00C76DDD">
              <w:t>in discussion</w:t>
            </w:r>
            <w:r w:rsidR="006D3E27">
              <w:t xml:space="preserve"> with Review Groups and develop a Priority Recruitment Plan.</w:t>
            </w:r>
          </w:p>
        </w:tc>
        <w:tc>
          <w:tcPr>
            <w:tcW w:w="2255" w:type="dxa"/>
            <w:gridSpan w:val="2"/>
          </w:tcPr>
          <w:p w14:paraId="47374BBB" w14:textId="77777777" w:rsidR="00AA7D1D" w:rsidRDefault="00AA7D1D"/>
        </w:tc>
        <w:tc>
          <w:tcPr>
            <w:tcW w:w="2495" w:type="dxa"/>
          </w:tcPr>
          <w:p w14:paraId="2F6119C1" w14:textId="77777777" w:rsidR="00AA7D1D" w:rsidRDefault="006D3E27">
            <w:r>
              <w:t>Recruitment Plan</w:t>
            </w:r>
          </w:p>
        </w:tc>
        <w:tc>
          <w:tcPr>
            <w:tcW w:w="2061" w:type="dxa"/>
          </w:tcPr>
          <w:p w14:paraId="3B25CC44" w14:textId="77777777" w:rsidR="007161AC" w:rsidRDefault="007161AC">
            <w:r>
              <w:t>Begin discussion with Review Groups for urgent recruitment March 2016</w:t>
            </w:r>
          </w:p>
          <w:p w14:paraId="341A2DA9" w14:textId="77777777" w:rsidR="007161AC" w:rsidRDefault="007161AC"/>
          <w:p w14:paraId="6B5687E1" w14:textId="04F1B799" w:rsidR="00AA7D1D" w:rsidRDefault="007161AC" w:rsidP="007161AC">
            <w:r>
              <w:t xml:space="preserve">Begin development of Priority Recruitment Plan </w:t>
            </w:r>
            <w:r w:rsidR="00C76DDD">
              <w:t>April 2017</w:t>
            </w:r>
            <w:r>
              <w:t>, completed by October 2017.</w:t>
            </w:r>
          </w:p>
          <w:p w14:paraId="71A7BA9F" w14:textId="77777777" w:rsidR="007161AC" w:rsidRDefault="007161AC" w:rsidP="007161AC">
            <w:r>
              <w:t>Sustained programme of recruitment begins 2018.</w:t>
            </w:r>
          </w:p>
        </w:tc>
      </w:tr>
      <w:tr w:rsidR="00AA7D1D" w14:paraId="216489FC" w14:textId="77777777" w:rsidTr="009661D6">
        <w:tc>
          <w:tcPr>
            <w:tcW w:w="810" w:type="dxa"/>
          </w:tcPr>
          <w:p w14:paraId="43BF9F4F"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3.4</w:t>
            </w:r>
          </w:p>
        </w:tc>
        <w:tc>
          <w:tcPr>
            <w:tcW w:w="2756" w:type="dxa"/>
          </w:tcPr>
          <w:p w14:paraId="294F6BAC" w14:textId="77777777" w:rsidR="00AA7D1D" w:rsidRDefault="00AA7D1D" w:rsidP="007F52D8">
            <w:r>
              <w:t xml:space="preserve">Work with </w:t>
            </w:r>
            <w:r w:rsidR="00B16FA5">
              <w:t xml:space="preserve">authors, </w:t>
            </w:r>
            <w:r>
              <w:t xml:space="preserve">consumers, Review Groups, the Project Transform </w:t>
            </w:r>
            <w:r w:rsidR="00B16FA5">
              <w:t>team and</w:t>
            </w:r>
            <w:r>
              <w:t xml:space="preserve"> others to facilitate new ways of involving consumers throughout the re</w:t>
            </w:r>
            <w:r w:rsidR="00B16FA5">
              <w:t>view process</w:t>
            </w:r>
            <w:r>
              <w:t>.</w:t>
            </w:r>
          </w:p>
          <w:p w14:paraId="66E27462" w14:textId="77777777" w:rsidR="00AA7D1D" w:rsidRDefault="00AA7D1D" w:rsidP="007F52D8"/>
        </w:tc>
        <w:tc>
          <w:tcPr>
            <w:tcW w:w="4037" w:type="dxa"/>
          </w:tcPr>
          <w:p w14:paraId="1897B7B5" w14:textId="6E2145A1" w:rsidR="00A15384" w:rsidRDefault="007161AC" w:rsidP="007161AC">
            <w:r>
              <w:t>2016 will see</w:t>
            </w:r>
            <w:r w:rsidR="00B459CE">
              <w:t xml:space="preserve"> </w:t>
            </w:r>
            <w:r>
              <w:t>discussion a</w:t>
            </w:r>
            <w:r w:rsidR="00B459CE">
              <w:t xml:space="preserve">nd </w:t>
            </w:r>
            <w:r>
              <w:t xml:space="preserve">re-affirmation of the importance of consumer involvement in the production and dissemination of Cochrane evidence. Central to this will be discussion </w:t>
            </w:r>
            <w:r w:rsidR="00C76DDD">
              <w:t>about consumers’</w:t>
            </w:r>
            <w:r w:rsidR="00A15384">
              <w:t xml:space="preserve"> </w:t>
            </w:r>
            <w:r w:rsidR="00B459CE">
              <w:t xml:space="preserve">involvement </w:t>
            </w:r>
            <w:r w:rsidR="00B16FA5">
              <w:t xml:space="preserve">earlier in the review </w:t>
            </w:r>
            <w:r w:rsidR="00C76DDD">
              <w:t>process (</w:t>
            </w:r>
            <w:r w:rsidR="00A15384">
              <w:t xml:space="preserve">i.e. in identifying priority reviews and </w:t>
            </w:r>
            <w:r w:rsidR="00B16FA5">
              <w:t xml:space="preserve">relevant </w:t>
            </w:r>
            <w:r w:rsidR="00A15384">
              <w:t xml:space="preserve">outcomes) as well as refining the existing ways in which consumers are involved (i.e. commenting on </w:t>
            </w:r>
            <w:r w:rsidR="00B16FA5">
              <w:t>protocols, reviews and</w:t>
            </w:r>
            <w:r w:rsidR="00A15384">
              <w:t xml:space="preserve"> Plain Language Summaries).</w:t>
            </w:r>
          </w:p>
          <w:p w14:paraId="0F6F6802" w14:textId="77777777" w:rsidR="00A15384" w:rsidRDefault="00A15384" w:rsidP="007161AC"/>
          <w:p w14:paraId="2FCCE28E" w14:textId="77777777" w:rsidR="00AA7D1D" w:rsidRDefault="007161AC" w:rsidP="007161AC">
            <w:r>
              <w:t xml:space="preserve"> The 2016 Colloquium will see the launch of a </w:t>
            </w:r>
            <w:r w:rsidR="00B459CE">
              <w:t xml:space="preserve">Steering Group </w:t>
            </w:r>
            <w:r>
              <w:t>statement about its importance.  The development of new resources will be essential to facilitate this extension of consumer involvement</w:t>
            </w:r>
            <w:r w:rsidR="00B459CE">
              <w:t>. M</w:t>
            </w:r>
            <w:r>
              <w:t>ethods of spreading good practice, including at Cochrane meetings, through training, conversations with Review Groups</w:t>
            </w:r>
            <w:r w:rsidR="00B459CE">
              <w:t xml:space="preserve"> and </w:t>
            </w:r>
            <w:r>
              <w:t>embedding consumers in the structures of Cochrane etc.</w:t>
            </w:r>
            <w:r w:rsidR="00B459CE">
              <w:t xml:space="preserve">is also essential. </w:t>
            </w:r>
            <w:r>
              <w:t>Project Transform offers exciting opportunities for the development of new ways to be involved. An annual survey of Review Groups and consumers will monitor progress in achieving this aim.</w:t>
            </w:r>
          </w:p>
          <w:p w14:paraId="3FF5D29E" w14:textId="7B83FF7B" w:rsidR="008768D3" w:rsidRDefault="008768D3" w:rsidP="007161AC"/>
        </w:tc>
        <w:tc>
          <w:tcPr>
            <w:tcW w:w="2255" w:type="dxa"/>
            <w:gridSpan w:val="2"/>
          </w:tcPr>
          <w:p w14:paraId="549DD296" w14:textId="77777777" w:rsidR="00AA7D1D" w:rsidRDefault="00AA7D1D"/>
        </w:tc>
        <w:tc>
          <w:tcPr>
            <w:tcW w:w="2495" w:type="dxa"/>
          </w:tcPr>
          <w:p w14:paraId="45A4A081" w14:textId="77777777" w:rsidR="00AA7D1D" w:rsidRDefault="007161AC">
            <w:r>
              <w:t>Policy Statement agreed CSG.</w:t>
            </w:r>
          </w:p>
          <w:p w14:paraId="57AE50CD" w14:textId="77777777" w:rsidR="007161AC" w:rsidRDefault="007161AC">
            <w:r>
              <w:t>New training resources developed.</w:t>
            </w:r>
          </w:p>
          <w:p w14:paraId="555E9D71" w14:textId="77777777" w:rsidR="007161AC" w:rsidRDefault="007161AC">
            <w:r>
              <w:t>Project Transform online.</w:t>
            </w:r>
          </w:p>
        </w:tc>
        <w:tc>
          <w:tcPr>
            <w:tcW w:w="2061" w:type="dxa"/>
          </w:tcPr>
          <w:p w14:paraId="29CAD124" w14:textId="77777777" w:rsidR="007161AC" w:rsidRDefault="007161AC">
            <w:r>
              <w:t>Policy statement October 2016.</w:t>
            </w:r>
          </w:p>
          <w:p w14:paraId="64C62ACB" w14:textId="77777777" w:rsidR="00AA7D1D" w:rsidRDefault="007161AC" w:rsidP="00A77BF5">
            <w:r>
              <w:t xml:space="preserve">Annual Surveys developed and undertaken </w:t>
            </w:r>
            <w:r w:rsidR="00A77BF5">
              <w:t xml:space="preserve">in </w:t>
            </w:r>
            <w:r>
              <w:t>December annually.</w:t>
            </w:r>
          </w:p>
        </w:tc>
      </w:tr>
      <w:tr w:rsidR="00A77BF5" w14:paraId="3E023E25" w14:textId="77777777" w:rsidTr="009661D6">
        <w:tc>
          <w:tcPr>
            <w:tcW w:w="810" w:type="dxa"/>
          </w:tcPr>
          <w:p w14:paraId="290E5307" w14:textId="77777777" w:rsidR="00A77BF5" w:rsidRPr="006F1364" w:rsidRDefault="00A77BF5" w:rsidP="00A77BF5">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3.5</w:t>
            </w:r>
          </w:p>
        </w:tc>
        <w:tc>
          <w:tcPr>
            <w:tcW w:w="2756" w:type="dxa"/>
          </w:tcPr>
          <w:p w14:paraId="2593FC27" w14:textId="0BCB69EF" w:rsidR="00A77BF5" w:rsidRDefault="00A77BF5" w:rsidP="00A77BF5">
            <w:r>
              <w:t xml:space="preserve">Work with consumers, Review Groups, Centres, Fields and </w:t>
            </w:r>
            <w:r w:rsidR="00FD1FEB">
              <w:t>external partners</w:t>
            </w:r>
            <w:r>
              <w:t xml:space="preserve"> to spread good practice and encourage involvement throughout the research cycl</w:t>
            </w:r>
            <w:r w:rsidR="004B0A10">
              <w:t>e.</w:t>
            </w:r>
            <w:r>
              <w:t xml:space="preserve"> </w:t>
            </w:r>
            <w:r w:rsidR="004B0A10">
              <w:t>I</w:t>
            </w:r>
            <w:r>
              <w:t>n particular in the areas of prioritisation, outcome identification and dissemination (including knowledge translation and knowledge mobilisation).</w:t>
            </w:r>
          </w:p>
          <w:p w14:paraId="393D1805" w14:textId="77777777" w:rsidR="00A77BF5" w:rsidRDefault="00A77BF5" w:rsidP="00A77BF5"/>
        </w:tc>
        <w:tc>
          <w:tcPr>
            <w:tcW w:w="4037" w:type="dxa"/>
          </w:tcPr>
          <w:p w14:paraId="77CF45F7" w14:textId="77777777" w:rsidR="00A77BF5" w:rsidRDefault="00A77BF5" w:rsidP="00A77BF5">
            <w:r>
              <w:t>See above</w:t>
            </w:r>
          </w:p>
        </w:tc>
        <w:tc>
          <w:tcPr>
            <w:tcW w:w="2255" w:type="dxa"/>
            <w:gridSpan w:val="2"/>
          </w:tcPr>
          <w:p w14:paraId="65BBFFE0" w14:textId="77777777" w:rsidR="00A77BF5" w:rsidRDefault="00A77BF5" w:rsidP="00A77BF5"/>
        </w:tc>
        <w:tc>
          <w:tcPr>
            <w:tcW w:w="2495" w:type="dxa"/>
          </w:tcPr>
          <w:p w14:paraId="78542AFC" w14:textId="77777777" w:rsidR="00A77BF5" w:rsidRDefault="00A77BF5" w:rsidP="00A77BF5">
            <w:r>
              <w:t>Policy Statement agreed CSG.</w:t>
            </w:r>
          </w:p>
          <w:p w14:paraId="5001F3FE" w14:textId="77777777" w:rsidR="00A77BF5" w:rsidRDefault="00A77BF5" w:rsidP="00A77BF5">
            <w:r>
              <w:t>New training resources developed.</w:t>
            </w:r>
          </w:p>
          <w:p w14:paraId="75FA2738" w14:textId="77777777" w:rsidR="00A77BF5" w:rsidRDefault="00A77BF5" w:rsidP="00A77BF5">
            <w:r>
              <w:t>Project Transform online.</w:t>
            </w:r>
          </w:p>
        </w:tc>
        <w:tc>
          <w:tcPr>
            <w:tcW w:w="2061" w:type="dxa"/>
          </w:tcPr>
          <w:p w14:paraId="18BF8848" w14:textId="77777777" w:rsidR="00A77BF5" w:rsidRDefault="00A77BF5" w:rsidP="00A77BF5">
            <w:r>
              <w:t>Policy statement October 2016.</w:t>
            </w:r>
          </w:p>
          <w:p w14:paraId="06DBEC3B" w14:textId="77777777" w:rsidR="00A77BF5" w:rsidRDefault="00A77BF5" w:rsidP="00A77BF5">
            <w:r>
              <w:t>Annual Surveys developed and undertaken in December annually.</w:t>
            </w:r>
          </w:p>
        </w:tc>
      </w:tr>
      <w:tr w:rsidR="00AA7D1D" w14:paraId="33C1DDAF" w14:textId="77777777" w:rsidTr="009661D6">
        <w:tc>
          <w:tcPr>
            <w:tcW w:w="810" w:type="dxa"/>
          </w:tcPr>
          <w:p w14:paraId="7716D972"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3.6</w:t>
            </w:r>
          </w:p>
        </w:tc>
        <w:tc>
          <w:tcPr>
            <w:tcW w:w="2756" w:type="dxa"/>
          </w:tcPr>
          <w:p w14:paraId="42A0D99C" w14:textId="77777777" w:rsidR="00AA7D1D" w:rsidRDefault="00AA7D1D" w:rsidP="007F52D8">
            <w:r>
              <w:t>Encourage Review Groups to record their experience, to capture the impact of consumer involvement and to publish where possible.</w:t>
            </w:r>
          </w:p>
          <w:p w14:paraId="2FC8FE6E" w14:textId="77777777" w:rsidR="00AA7D1D" w:rsidRDefault="00AA7D1D"/>
        </w:tc>
        <w:tc>
          <w:tcPr>
            <w:tcW w:w="4037" w:type="dxa"/>
          </w:tcPr>
          <w:p w14:paraId="4CD583BF" w14:textId="77777777" w:rsidR="00AA7D1D" w:rsidRDefault="00A77BF5">
            <w:r>
              <w:t>The literature review, undertaken as part of the 2015 SFR revealed that there is limited publication of consumer involvement activities. Review groups will be encouraged to record and report consumer involvement activities. This will be captured in the Annual Survey and a further literature review undertaken in 2020.</w:t>
            </w:r>
          </w:p>
        </w:tc>
        <w:tc>
          <w:tcPr>
            <w:tcW w:w="2255" w:type="dxa"/>
            <w:gridSpan w:val="2"/>
          </w:tcPr>
          <w:p w14:paraId="362C22A9" w14:textId="77777777" w:rsidR="00AA7D1D" w:rsidRDefault="00AA7D1D"/>
        </w:tc>
        <w:tc>
          <w:tcPr>
            <w:tcW w:w="2495" w:type="dxa"/>
          </w:tcPr>
          <w:p w14:paraId="563A72ED" w14:textId="77777777" w:rsidR="00AA7D1D" w:rsidRDefault="00A77BF5">
            <w:r>
              <w:t>Reports on Review Groups’ consumer involvement activities</w:t>
            </w:r>
            <w:r w:rsidR="00BB3554">
              <w:t xml:space="preserve"> to be made available to the CE</w:t>
            </w:r>
            <w:r>
              <w:t>.</w:t>
            </w:r>
          </w:p>
          <w:p w14:paraId="1B57DD85" w14:textId="77777777" w:rsidR="00A77BF5" w:rsidRDefault="00A77BF5">
            <w:r>
              <w:t>Literature review.</w:t>
            </w:r>
          </w:p>
        </w:tc>
        <w:tc>
          <w:tcPr>
            <w:tcW w:w="2061" w:type="dxa"/>
          </w:tcPr>
          <w:p w14:paraId="14D9EE9E" w14:textId="77777777" w:rsidR="00AA7D1D" w:rsidRDefault="00A77BF5">
            <w:r>
              <w:t>Annual survey December.</w:t>
            </w:r>
          </w:p>
          <w:p w14:paraId="07A3D8D3" w14:textId="77777777" w:rsidR="00A77BF5" w:rsidRDefault="00BB3554">
            <w:r>
              <w:t>Literature review 2020.</w:t>
            </w:r>
          </w:p>
        </w:tc>
      </w:tr>
      <w:tr w:rsidR="00AA7D1D" w14:paraId="1F46DBC8" w14:textId="77777777" w:rsidTr="009661D6">
        <w:tc>
          <w:tcPr>
            <w:tcW w:w="810" w:type="dxa"/>
          </w:tcPr>
          <w:p w14:paraId="2F6263E8"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3.7</w:t>
            </w:r>
          </w:p>
        </w:tc>
        <w:tc>
          <w:tcPr>
            <w:tcW w:w="2756" w:type="dxa"/>
          </w:tcPr>
          <w:p w14:paraId="6C9F933F" w14:textId="536CD928" w:rsidR="00AA7D1D" w:rsidRDefault="00AA7D1D" w:rsidP="007F52D8">
            <w:r>
              <w:t xml:space="preserve">Consider conducting </w:t>
            </w:r>
            <w:r w:rsidR="00A85CD4">
              <w:t>research</w:t>
            </w:r>
            <w:r>
              <w:t xml:space="preserve"> in order to understand what makes effective consumer involvement in the production and dissemination of Cochrane evidence (including knowledge translation and knowledge mobilisation).</w:t>
            </w:r>
          </w:p>
          <w:p w14:paraId="40E0BB2B" w14:textId="77777777" w:rsidR="00AA7D1D" w:rsidRDefault="00AA7D1D"/>
        </w:tc>
        <w:tc>
          <w:tcPr>
            <w:tcW w:w="4037" w:type="dxa"/>
          </w:tcPr>
          <w:p w14:paraId="08792E07" w14:textId="5FE0F527" w:rsidR="00AA7D1D" w:rsidRDefault="00D82372">
            <w:r>
              <w:t xml:space="preserve">One of the recommendations, arising from the 2015 SFR and literature review, was the potential to conduct further research (possibly a trial) into the impact of consumer involvement in the production of Cochrane evidence. This recommendation will be revisited in 2018 </w:t>
            </w:r>
            <w:r w:rsidR="004B0A10">
              <w:t xml:space="preserve">for </w:t>
            </w:r>
            <w:r>
              <w:t>discussion with potential interested parties, including the Consumer and Communication Review Group</w:t>
            </w:r>
            <w:r w:rsidR="00A85CD4">
              <w:t>.</w:t>
            </w:r>
          </w:p>
        </w:tc>
        <w:tc>
          <w:tcPr>
            <w:tcW w:w="2255" w:type="dxa"/>
            <w:gridSpan w:val="2"/>
          </w:tcPr>
          <w:p w14:paraId="2BE76802" w14:textId="77777777" w:rsidR="00AA7D1D" w:rsidRDefault="00AA7D1D"/>
        </w:tc>
        <w:tc>
          <w:tcPr>
            <w:tcW w:w="2495" w:type="dxa"/>
          </w:tcPr>
          <w:p w14:paraId="678DE7AC" w14:textId="77777777" w:rsidR="00AA7D1D" w:rsidRDefault="00D82372">
            <w:r>
              <w:t>Research in to the impact of consumer involvement.</w:t>
            </w:r>
          </w:p>
        </w:tc>
        <w:tc>
          <w:tcPr>
            <w:tcW w:w="2061" w:type="dxa"/>
          </w:tcPr>
          <w:p w14:paraId="49FD8E3F" w14:textId="77777777" w:rsidR="00AA7D1D" w:rsidRDefault="00D82372">
            <w:r w:rsidRPr="00D82372">
              <w:t>Research in to the</w:t>
            </w:r>
            <w:r>
              <w:t xml:space="preserve"> impact of consumer involvement begins June 2018.</w:t>
            </w:r>
          </w:p>
        </w:tc>
      </w:tr>
      <w:tr w:rsidR="006F1364" w:rsidRPr="006F1364" w14:paraId="17030422" w14:textId="77777777" w:rsidTr="009661D6">
        <w:tc>
          <w:tcPr>
            <w:tcW w:w="14414" w:type="dxa"/>
            <w:gridSpan w:val="7"/>
            <w:shd w:val="clear" w:color="auto" w:fill="F2F2F2" w:themeFill="background1" w:themeFillShade="F2"/>
          </w:tcPr>
          <w:p w14:paraId="7C6A59C6" w14:textId="77777777" w:rsidR="006F1364" w:rsidRPr="002A4631" w:rsidRDefault="00BE3268" w:rsidP="00C1780C">
            <w:pPr>
              <w:spacing w:line="420" w:lineRule="exact"/>
              <w:rPr>
                <w:rFonts w:ascii="Source Sans Pro" w:eastAsia="Source Sans Pro Semibold" w:hAnsi="Source Sans Pro" w:cs="Times New Roman"/>
                <w:color w:val="962D91"/>
                <w:sz w:val="28"/>
                <w:szCs w:val="28"/>
              </w:rPr>
            </w:pPr>
            <w:r>
              <w:rPr>
                <w:rFonts w:ascii="Source Sans Pro" w:eastAsia="Source Sans Pro Semibold" w:hAnsi="Source Sans Pro" w:cs="Times New Roman"/>
                <w:b/>
                <w:color w:val="962D91"/>
                <w:sz w:val="28"/>
                <w:szCs w:val="28"/>
              </w:rPr>
              <w:t>Priority</w:t>
            </w:r>
            <w:r w:rsidR="006F1364" w:rsidRPr="002A4631">
              <w:rPr>
                <w:rFonts w:ascii="Source Sans Pro" w:eastAsia="Source Sans Pro Semibold" w:hAnsi="Source Sans Pro" w:cs="Times New Roman"/>
                <w:b/>
                <w:color w:val="962D91"/>
                <w:sz w:val="28"/>
                <w:szCs w:val="28"/>
              </w:rPr>
              <w:t xml:space="preserve"> 4.0 </w:t>
            </w:r>
            <w:r w:rsidR="00C813FA" w:rsidRPr="00C813FA">
              <w:rPr>
                <w:rFonts w:ascii="Source Sans Pro" w:eastAsia="Source Sans Pro Semibold" w:hAnsi="Source Sans Pro" w:cs="Times New Roman"/>
                <w:b/>
                <w:color w:val="962D91"/>
                <w:sz w:val="28"/>
                <w:szCs w:val="28"/>
              </w:rPr>
              <w:t xml:space="preserve">Contribute to the development of Cochrane Membership to ensure the scheme offers maximum opportunities for consumer engagement and involvement  </w:t>
            </w:r>
          </w:p>
        </w:tc>
      </w:tr>
      <w:tr w:rsidR="00AA7D1D" w14:paraId="5B6370F6" w14:textId="77777777" w:rsidTr="009661D6">
        <w:tc>
          <w:tcPr>
            <w:tcW w:w="810" w:type="dxa"/>
          </w:tcPr>
          <w:p w14:paraId="69C241EC"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4.1</w:t>
            </w:r>
          </w:p>
        </w:tc>
        <w:tc>
          <w:tcPr>
            <w:tcW w:w="2756" w:type="dxa"/>
          </w:tcPr>
          <w:p w14:paraId="5C67F611" w14:textId="1B2C9538" w:rsidR="00AA7D1D" w:rsidRDefault="00AA7D1D" w:rsidP="007F52D8">
            <w:r>
              <w:t xml:space="preserve">Engage with the new Cochrane Membership in a way that facilitates new and effective ways of consumer involvement and includes </w:t>
            </w:r>
            <w:r w:rsidR="004B0A10">
              <w:t>means</w:t>
            </w:r>
            <w:r>
              <w:t xml:space="preserve"> of capturing accurate data about levels of involvement.</w:t>
            </w:r>
          </w:p>
          <w:p w14:paraId="1B57C345" w14:textId="77777777" w:rsidR="00AA7D1D" w:rsidRDefault="00AA7D1D"/>
        </w:tc>
        <w:tc>
          <w:tcPr>
            <w:tcW w:w="4037" w:type="dxa"/>
          </w:tcPr>
          <w:p w14:paraId="10EAE06C" w14:textId="77777777" w:rsidR="00AA7D1D" w:rsidRDefault="009B6F76">
            <w:r>
              <w:t>The new Cochrane Membership Scheme offers significant opportunities to support the recruitment and engagement of Consumers in the production and dissemination of Cochrane evidence. The Consumer Executive will maintain its involvement in the design and roll out of the Scheme.</w:t>
            </w:r>
          </w:p>
          <w:p w14:paraId="1DB0451C" w14:textId="77777777" w:rsidR="00A41D25" w:rsidRDefault="00A41D25"/>
          <w:p w14:paraId="0E580DA7" w14:textId="77777777" w:rsidR="00A41D25" w:rsidRDefault="00A41D25"/>
          <w:p w14:paraId="63108846" w14:textId="77777777" w:rsidR="00A41D25" w:rsidRDefault="00A41D25"/>
        </w:tc>
        <w:tc>
          <w:tcPr>
            <w:tcW w:w="2255" w:type="dxa"/>
            <w:gridSpan w:val="2"/>
          </w:tcPr>
          <w:p w14:paraId="0C48BFA6" w14:textId="77777777" w:rsidR="00AA7D1D" w:rsidRDefault="00AA7D1D"/>
        </w:tc>
        <w:tc>
          <w:tcPr>
            <w:tcW w:w="2495" w:type="dxa"/>
          </w:tcPr>
          <w:p w14:paraId="5DECEB17" w14:textId="77777777" w:rsidR="00AA7D1D" w:rsidRDefault="009B6F76">
            <w:r>
              <w:t>New Cochrane Membership.</w:t>
            </w:r>
          </w:p>
        </w:tc>
        <w:tc>
          <w:tcPr>
            <w:tcW w:w="2061" w:type="dxa"/>
          </w:tcPr>
          <w:p w14:paraId="6503BC80" w14:textId="77777777" w:rsidR="00AA7D1D" w:rsidRDefault="005E0EC6" w:rsidP="005E0EC6">
            <w:r>
              <w:t>Work with Membership development team f</w:t>
            </w:r>
            <w:r w:rsidR="009B6F76">
              <w:t xml:space="preserve">rom </w:t>
            </w:r>
            <w:r>
              <w:t>January 2016 to launch</w:t>
            </w:r>
            <w:r w:rsidR="009B6F76">
              <w:t>.</w:t>
            </w:r>
          </w:p>
        </w:tc>
      </w:tr>
      <w:tr w:rsidR="006F1364" w:rsidRPr="006F1364" w14:paraId="1911026B" w14:textId="77777777" w:rsidTr="009661D6">
        <w:tc>
          <w:tcPr>
            <w:tcW w:w="14414" w:type="dxa"/>
            <w:gridSpan w:val="7"/>
            <w:shd w:val="clear" w:color="auto" w:fill="F2F2F2" w:themeFill="background1" w:themeFillShade="F2"/>
          </w:tcPr>
          <w:p w14:paraId="10F16DE1" w14:textId="77777777" w:rsidR="006F1364" w:rsidRPr="002A4631" w:rsidRDefault="00BE3268" w:rsidP="00C1780C">
            <w:pPr>
              <w:spacing w:line="420" w:lineRule="exact"/>
              <w:rPr>
                <w:rFonts w:ascii="Source Sans Pro" w:eastAsia="Source Sans Pro Semibold" w:hAnsi="Source Sans Pro" w:cs="Times New Roman"/>
                <w:color w:val="962D91"/>
                <w:sz w:val="28"/>
                <w:szCs w:val="28"/>
              </w:rPr>
            </w:pPr>
            <w:r>
              <w:rPr>
                <w:rFonts w:ascii="Source Sans Pro" w:eastAsia="Source Sans Pro Semibold" w:hAnsi="Source Sans Pro" w:cs="Times New Roman"/>
                <w:b/>
                <w:color w:val="962D91"/>
                <w:sz w:val="28"/>
                <w:szCs w:val="28"/>
              </w:rPr>
              <w:t>Priority</w:t>
            </w:r>
            <w:r w:rsidR="006F1364" w:rsidRPr="002A4631">
              <w:rPr>
                <w:rFonts w:ascii="Source Sans Pro" w:eastAsia="Source Sans Pro Semibold" w:hAnsi="Source Sans Pro" w:cs="Times New Roman"/>
                <w:b/>
                <w:color w:val="962D91"/>
                <w:sz w:val="28"/>
                <w:szCs w:val="28"/>
              </w:rPr>
              <w:t xml:space="preserve"> 5</w:t>
            </w:r>
            <w:r w:rsidR="00C813FA">
              <w:rPr>
                <w:rFonts w:ascii="Source Sans Pro" w:eastAsia="Source Sans Pro Semibold" w:hAnsi="Source Sans Pro" w:cs="Times New Roman"/>
                <w:b/>
                <w:color w:val="962D91"/>
                <w:sz w:val="28"/>
                <w:szCs w:val="28"/>
              </w:rPr>
              <w:t xml:space="preserve">.0 </w:t>
            </w:r>
            <w:r w:rsidR="006F1364" w:rsidRPr="002A4631">
              <w:rPr>
                <w:rFonts w:ascii="Source Sans Pro" w:eastAsia="Source Sans Pro Semibold" w:hAnsi="Source Sans Pro" w:cs="Times New Roman"/>
                <w:b/>
                <w:color w:val="962D91"/>
                <w:sz w:val="28"/>
                <w:szCs w:val="28"/>
              </w:rPr>
              <w:t xml:space="preserve"> </w:t>
            </w:r>
            <w:r w:rsidR="00ED1E48" w:rsidRPr="00C813FA">
              <w:rPr>
                <w:rFonts w:ascii="Source Sans Pro" w:eastAsia="Source Sans Pro Semibold" w:hAnsi="Source Sans Pro" w:cs="Times New Roman"/>
                <w:b/>
                <w:color w:val="962D91"/>
                <w:sz w:val="28"/>
                <w:szCs w:val="28"/>
              </w:rPr>
              <w:t>Build on and develop new programmes of support for Cochrane consumers</w:t>
            </w:r>
            <w:r w:rsidR="00ED1E48" w:rsidRPr="00C813FA">
              <w:rPr>
                <w:rFonts w:ascii="Source Sans Pro" w:eastAsia="Source Sans Pro Semibold" w:hAnsi="Source Sans Pro" w:cs="Times New Roman"/>
                <w:color w:val="962D91"/>
                <w:sz w:val="28"/>
                <w:szCs w:val="28"/>
              </w:rPr>
              <w:t xml:space="preserve"> </w:t>
            </w:r>
          </w:p>
        </w:tc>
      </w:tr>
      <w:tr w:rsidR="00AA7D1D" w14:paraId="3FEFE01F" w14:textId="77777777" w:rsidTr="009661D6">
        <w:tc>
          <w:tcPr>
            <w:tcW w:w="810" w:type="dxa"/>
          </w:tcPr>
          <w:p w14:paraId="3C9686C2"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5.1</w:t>
            </w:r>
          </w:p>
        </w:tc>
        <w:tc>
          <w:tcPr>
            <w:tcW w:w="2756" w:type="dxa"/>
          </w:tcPr>
          <w:p w14:paraId="75BC89AE" w14:textId="77777777" w:rsidR="00AA7D1D" w:rsidRDefault="00AA7D1D" w:rsidP="007F52D8">
            <w:r>
              <w:t>Build a programme of mentoring support for new consumers.</w:t>
            </w:r>
          </w:p>
          <w:p w14:paraId="5CFAC3CE" w14:textId="77777777" w:rsidR="00AA7D1D" w:rsidRDefault="00AA7D1D"/>
        </w:tc>
        <w:tc>
          <w:tcPr>
            <w:tcW w:w="4037" w:type="dxa"/>
          </w:tcPr>
          <w:p w14:paraId="1B36AFBF" w14:textId="0532E23D" w:rsidR="00AA7D1D" w:rsidRDefault="00432944" w:rsidP="00BD3D3A">
            <w:r>
              <w:t>The Consumer Executive has previously identified the need to establish a mentoring scheme to support new consumers.</w:t>
            </w:r>
            <w:r w:rsidR="00D1731D">
              <w:t xml:space="preserve"> Some work has already been done to identify potential mentors.</w:t>
            </w:r>
            <w:r>
              <w:t xml:space="preserve"> In order to take this forward </w:t>
            </w:r>
            <w:r w:rsidR="00BD3D3A">
              <w:t xml:space="preserve">it is proposed to establish a </w:t>
            </w:r>
            <w:r w:rsidR="004B0A10">
              <w:t xml:space="preserve">Mentoring </w:t>
            </w:r>
            <w:r w:rsidR="00BD3D3A">
              <w:t xml:space="preserve">Task Group to develop a </w:t>
            </w:r>
            <w:r w:rsidR="004B0A10">
              <w:t>s</w:t>
            </w:r>
            <w:r w:rsidR="00BD3D3A">
              <w:t>cheme.</w:t>
            </w:r>
          </w:p>
        </w:tc>
        <w:tc>
          <w:tcPr>
            <w:tcW w:w="2255" w:type="dxa"/>
            <w:gridSpan w:val="2"/>
          </w:tcPr>
          <w:p w14:paraId="1C00FA2C" w14:textId="77777777" w:rsidR="00AA7D1D" w:rsidRDefault="00BD3D3A" w:rsidP="00BD3D3A">
            <w:r>
              <w:t>Mentoring Scheme Task Group.</w:t>
            </w:r>
          </w:p>
        </w:tc>
        <w:tc>
          <w:tcPr>
            <w:tcW w:w="2495" w:type="dxa"/>
          </w:tcPr>
          <w:p w14:paraId="6C8A1DE8" w14:textId="77777777" w:rsidR="00AA7D1D" w:rsidRDefault="00BD3D3A">
            <w:r>
              <w:t>Mentoring scheme established.</w:t>
            </w:r>
          </w:p>
        </w:tc>
        <w:tc>
          <w:tcPr>
            <w:tcW w:w="2061" w:type="dxa"/>
          </w:tcPr>
          <w:p w14:paraId="09AA48C4" w14:textId="171B6652" w:rsidR="00AA7D1D" w:rsidRDefault="00D1731D" w:rsidP="00D1731D">
            <w:r>
              <w:t>Task group established April 201</w:t>
            </w:r>
            <w:r w:rsidR="00676197">
              <w:t>7</w:t>
            </w:r>
            <w:r>
              <w:t>.</w:t>
            </w:r>
          </w:p>
          <w:p w14:paraId="64B647DD" w14:textId="11312425" w:rsidR="00D1731D" w:rsidRDefault="00D1731D" w:rsidP="00D1731D">
            <w:r>
              <w:t>Mentoring scheme commences October 201</w:t>
            </w:r>
            <w:r w:rsidR="00676197">
              <w:t>7</w:t>
            </w:r>
            <w:r>
              <w:t>.</w:t>
            </w:r>
          </w:p>
        </w:tc>
      </w:tr>
      <w:tr w:rsidR="00AA7D1D" w14:paraId="1A17FA32" w14:textId="77777777" w:rsidTr="009661D6">
        <w:tc>
          <w:tcPr>
            <w:tcW w:w="810" w:type="dxa"/>
          </w:tcPr>
          <w:p w14:paraId="7075E23F"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5.2</w:t>
            </w:r>
          </w:p>
        </w:tc>
        <w:tc>
          <w:tcPr>
            <w:tcW w:w="2756" w:type="dxa"/>
          </w:tcPr>
          <w:p w14:paraId="757574AF" w14:textId="7F4ACBF6" w:rsidR="00AA7D1D" w:rsidRDefault="00AA7D1D" w:rsidP="007F52D8">
            <w:r>
              <w:t xml:space="preserve">Review the effectiveness of the Consumer Stipend </w:t>
            </w:r>
            <w:r w:rsidR="004B0A10">
              <w:t>process</w:t>
            </w:r>
            <w:r>
              <w:t xml:space="preserve"> to meet the strategic need to improve the involvement of consumers in the research process.</w:t>
            </w:r>
          </w:p>
          <w:p w14:paraId="360A49B2" w14:textId="77777777" w:rsidR="00AA7D1D" w:rsidRDefault="00AA7D1D" w:rsidP="007F52D8"/>
        </w:tc>
        <w:tc>
          <w:tcPr>
            <w:tcW w:w="4037" w:type="dxa"/>
          </w:tcPr>
          <w:p w14:paraId="43BA0FB3" w14:textId="77777777" w:rsidR="00AA7D1D" w:rsidRPr="003E3092" w:rsidRDefault="003E3092" w:rsidP="003E3092">
            <w:r>
              <w:t xml:space="preserve">The </w:t>
            </w:r>
            <w:r w:rsidR="003D70E7">
              <w:t>consumer stipend is an annual amount of £30,000 awarded to registered consumers to support their attendance at Cochrane colloquia. There is a need to review the effectiveness of the stipend application and award process to ensure that it is fit for purpose and meets the strategic needs of Cochrane.</w:t>
            </w:r>
          </w:p>
        </w:tc>
        <w:tc>
          <w:tcPr>
            <w:tcW w:w="2255" w:type="dxa"/>
            <w:gridSpan w:val="2"/>
          </w:tcPr>
          <w:p w14:paraId="53F91E4B" w14:textId="77777777" w:rsidR="00AA7D1D" w:rsidRDefault="00AA7D1D"/>
        </w:tc>
        <w:tc>
          <w:tcPr>
            <w:tcW w:w="2495" w:type="dxa"/>
          </w:tcPr>
          <w:p w14:paraId="170BFC0A" w14:textId="77777777" w:rsidR="00AA7D1D" w:rsidRDefault="003D70E7">
            <w:r>
              <w:t>Revised application process and criteria.</w:t>
            </w:r>
          </w:p>
        </w:tc>
        <w:tc>
          <w:tcPr>
            <w:tcW w:w="2061" w:type="dxa"/>
          </w:tcPr>
          <w:p w14:paraId="41D0C87A" w14:textId="77777777" w:rsidR="00AA7D1D" w:rsidRDefault="003D70E7">
            <w:r>
              <w:t>Begins January 2016.</w:t>
            </w:r>
          </w:p>
          <w:p w14:paraId="01A7B6AF" w14:textId="77777777" w:rsidR="003D70E7" w:rsidRDefault="003D70E7">
            <w:r>
              <w:t>Ends March 2016.</w:t>
            </w:r>
          </w:p>
        </w:tc>
      </w:tr>
      <w:tr w:rsidR="00AA7D1D" w14:paraId="097ADB36" w14:textId="77777777" w:rsidTr="009661D6">
        <w:tc>
          <w:tcPr>
            <w:tcW w:w="810" w:type="dxa"/>
          </w:tcPr>
          <w:p w14:paraId="24E6007F"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5.3</w:t>
            </w:r>
          </w:p>
        </w:tc>
        <w:tc>
          <w:tcPr>
            <w:tcW w:w="2756" w:type="dxa"/>
          </w:tcPr>
          <w:p w14:paraId="26ADCD2F" w14:textId="77777777" w:rsidR="00AA7D1D" w:rsidRDefault="00AA7D1D" w:rsidP="007F52D8">
            <w:r>
              <w:t>Develop training resources for consumers</w:t>
            </w:r>
            <w:r w:rsidR="00C1780C">
              <w:t xml:space="preserve">, </w:t>
            </w:r>
            <w:r>
              <w:t xml:space="preserve">Review </w:t>
            </w:r>
            <w:r w:rsidR="00C1780C">
              <w:t xml:space="preserve">Groups and centres </w:t>
            </w:r>
            <w:r>
              <w:t xml:space="preserve">to promote involvement and in particular to promote innovation in involvement throughout the </w:t>
            </w:r>
            <w:r w:rsidR="00C1780C">
              <w:t xml:space="preserve">review process  </w:t>
            </w:r>
            <w:r>
              <w:t xml:space="preserve">(e.g. priority setting, outcome identification and dissemination </w:t>
            </w:r>
          </w:p>
          <w:p w14:paraId="74A55961" w14:textId="77777777" w:rsidR="00AA7D1D" w:rsidRDefault="00AA7D1D" w:rsidP="007F52D8"/>
        </w:tc>
        <w:tc>
          <w:tcPr>
            <w:tcW w:w="4037" w:type="dxa"/>
          </w:tcPr>
          <w:p w14:paraId="0662C382" w14:textId="56FD8D7D" w:rsidR="00AA7D1D" w:rsidRDefault="004B1E5B" w:rsidP="004B1E5B">
            <w:r>
              <w:t>The Cochrane Training Group is developing new learning resources, with new online and group training materials to be produced in order to support consumer</w:t>
            </w:r>
            <w:r w:rsidR="004B0A10">
              <w:t xml:space="preserve"> involvement</w:t>
            </w:r>
            <w:r>
              <w:t xml:space="preserve">. A programme of work has been devised and work </w:t>
            </w:r>
            <w:r w:rsidR="004B0A10">
              <w:t>has</w:t>
            </w:r>
            <w:r>
              <w:t xml:space="preserve"> begun in partnership with the Consumer Executive.</w:t>
            </w:r>
          </w:p>
        </w:tc>
        <w:tc>
          <w:tcPr>
            <w:tcW w:w="2255" w:type="dxa"/>
            <w:gridSpan w:val="2"/>
          </w:tcPr>
          <w:p w14:paraId="15F30541" w14:textId="77777777" w:rsidR="00AA7D1D" w:rsidRDefault="004B1E5B">
            <w:r>
              <w:t>Cochrane Training Group.</w:t>
            </w:r>
          </w:p>
          <w:p w14:paraId="271D5CD7" w14:textId="77777777" w:rsidR="004B1E5B" w:rsidRDefault="004B1E5B">
            <w:r>
              <w:t>£5,000 grant available to fund consumer involvement in the production of resources.</w:t>
            </w:r>
          </w:p>
        </w:tc>
        <w:tc>
          <w:tcPr>
            <w:tcW w:w="2495" w:type="dxa"/>
          </w:tcPr>
          <w:p w14:paraId="2C7F6FDC" w14:textId="77777777" w:rsidR="00AA7D1D" w:rsidRDefault="004B1E5B">
            <w:r>
              <w:t>New online and group training materials.</w:t>
            </w:r>
          </w:p>
        </w:tc>
        <w:tc>
          <w:tcPr>
            <w:tcW w:w="2061" w:type="dxa"/>
          </w:tcPr>
          <w:p w14:paraId="2FF316E7" w14:textId="77777777" w:rsidR="00AA7D1D" w:rsidRDefault="00C813FA">
            <w:r>
              <w:t xml:space="preserve">Commenced 2015. </w:t>
            </w:r>
          </w:p>
          <w:p w14:paraId="1BC25671" w14:textId="77777777" w:rsidR="004B1E5B" w:rsidRDefault="004B1E5B">
            <w:r>
              <w:t>Completed by 2020.</w:t>
            </w:r>
          </w:p>
        </w:tc>
      </w:tr>
      <w:tr w:rsidR="00AA7D1D" w14:paraId="26358F93" w14:textId="77777777" w:rsidTr="009661D6">
        <w:tc>
          <w:tcPr>
            <w:tcW w:w="810" w:type="dxa"/>
          </w:tcPr>
          <w:p w14:paraId="493855E6"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5.4</w:t>
            </w:r>
          </w:p>
        </w:tc>
        <w:tc>
          <w:tcPr>
            <w:tcW w:w="2756" w:type="dxa"/>
          </w:tcPr>
          <w:p w14:paraId="114423A3" w14:textId="371EC44F" w:rsidR="00AA7D1D" w:rsidRDefault="00AA7D1D" w:rsidP="007F52D8">
            <w:r>
              <w:t xml:space="preserve">Work with consumers, Review Groups and Centres to develop effective processes of support for consumers including recruitment, </w:t>
            </w:r>
            <w:r w:rsidR="00133B8D">
              <w:t>training</w:t>
            </w:r>
            <w:r w:rsidR="00954C76">
              <w:t xml:space="preserve">, </w:t>
            </w:r>
            <w:r>
              <w:t xml:space="preserve">mentoring and </w:t>
            </w:r>
            <w:r w:rsidR="00133B8D">
              <w:t xml:space="preserve">ongoing </w:t>
            </w:r>
            <w:r>
              <w:t>communication.</w:t>
            </w:r>
          </w:p>
          <w:p w14:paraId="7E17D7D6" w14:textId="77777777" w:rsidR="00AA7D1D" w:rsidRDefault="00AA7D1D" w:rsidP="007F52D8"/>
        </w:tc>
        <w:tc>
          <w:tcPr>
            <w:tcW w:w="4037" w:type="dxa"/>
          </w:tcPr>
          <w:p w14:paraId="73C032B6" w14:textId="3C983B11" w:rsidR="00AA7D1D" w:rsidRDefault="004B1E5B" w:rsidP="00C813FA">
            <w:r>
              <w:t xml:space="preserve">Part of the process of ensuring that consumers are adequately </w:t>
            </w:r>
            <w:r w:rsidRPr="00954C76">
              <w:t>inducted,</w:t>
            </w:r>
            <w:r>
              <w:t xml:space="preserve"> </w:t>
            </w:r>
            <w:r w:rsidR="00133B8D">
              <w:t>recruited</w:t>
            </w:r>
            <w:r w:rsidR="00954C76">
              <w:t xml:space="preserve">, </w:t>
            </w:r>
            <w:r>
              <w:t xml:space="preserve">trained and supported will involve working with Review Groups and Centres to ensure that the resources developed also meet the needs of Review Groups in particular, but also Centres. A range of methods will be used including surveys, workshops at symposia and colloquia and establishing a dialogue with the </w:t>
            </w:r>
            <w:r w:rsidR="00C813FA">
              <w:t xml:space="preserve">Managing Editors’ </w:t>
            </w:r>
            <w:r>
              <w:t>Executive. This work has already begun with the Review Group survey as part of the 2015 SFR and attendance at the Managing Editors’ meeting in Vienna 2015. There will be a need to maintain constant dialogue in the future.</w:t>
            </w:r>
          </w:p>
        </w:tc>
        <w:tc>
          <w:tcPr>
            <w:tcW w:w="2255" w:type="dxa"/>
            <w:gridSpan w:val="2"/>
          </w:tcPr>
          <w:p w14:paraId="2F6667A1" w14:textId="77777777" w:rsidR="00AA7D1D" w:rsidRDefault="00AA7D1D"/>
        </w:tc>
        <w:tc>
          <w:tcPr>
            <w:tcW w:w="2495" w:type="dxa"/>
          </w:tcPr>
          <w:p w14:paraId="06A25A8B" w14:textId="77777777" w:rsidR="00AA7D1D" w:rsidRDefault="004B1E5B">
            <w:r>
              <w:t>Resources and support developed that meets the needs of consumers and Review Groups</w:t>
            </w:r>
          </w:p>
        </w:tc>
        <w:tc>
          <w:tcPr>
            <w:tcW w:w="2061" w:type="dxa"/>
          </w:tcPr>
          <w:p w14:paraId="1D782BD0" w14:textId="77777777" w:rsidR="00AA7D1D" w:rsidRDefault="004B1E5B">
            <w:r>
              <w:t>Ongoing</w:t>
            </w:r>
          </w:p>
        </w:tc>
      </w:tr>
      <w:tr w:rsidR="00AA7D1D" w14:paraId="3F87E2D6" w14:textId="77777777" w:rsidTr="009661D6">
        <w:tc>
          <w:tcPr>
            <w:tcW w:w="810" w:type="dxa"/>
          </w:tcPr>
          <w:p w14:paraId="6FD1B90A" w14:textId="77777777" w:rsidR="00AA7D1D" w:rsidRPr="006F1364" w:rsidRDefault="00AA7D1D" w:rsidP="007F52D8">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5.5</w:t>
            </w:r>
          </w:p>
        </w:tc>
        <w:tc>
          <w:tcPr>
            <w:tcW w:w="2756" w:type="dxa"/>
          </w:tcPr>
          <w:p w14:paraId="5BB4AF24" w14:textId="09E520C4" w:rsidR="00AA7D1D" w:rsidRDefault="000D4AFF" w:rsidP="007F52D8">
            <w:r>
              <w:t xml:space="preserve">Develop a range of measures </w:t>
            </w:r>
            <w:r w:rsidR="00133B8D">
              <w:t xml:space="preserve">to </w:t>
            </w:r>
            <w:r>
              <w:t>understand</w:t>
            </w:r>
            <w:r w:rsidR="00133B8D">
              <w:t xml:space="preserve"> the</w:t>
            </w:r>
            <w:r>
              <w:t xml:space="preserve"> consumers’ experience including u</w:t>
            </w:r>
            <w:r w:rsidR="00AA7D1D">
              <w:t>ndertak</w:t>
            </w:r>
            <w:r>
              <w:t>ing</w:t>
            </w:r>
            <w:r w:rsidR="00AA7D1D">
              <w:t xml:space="preserve"> an annual survey of consumer satisfaction in order to improve practice.</w:t>
            </w:r>
          </w:p>
          <w:p w14:paraId="3DAFD151" w14:textId="77777777" w:rsidR="00AA7D1D" w:rsidRDefault="00AA7D1D"/>
        </w:tc>
        <w:tc>
          <w:tcPr>
            <w:tcW w:w="4037" w:type="dxa"/>
          </w:tcPr>
          <w:p w14:paraId="1CFDF714" w14:textId="1B7D6DA6" w:rsidR="000D4AFF" w:rsidRDefault="00774FD4" w:rsidP="000D4AFF">
            <w:r>
              <w:t xml:space="preserve">As part of the Consumer SFR, a survey of consumers was undertaken </w:t>
            </w:r>
            <w:r w:rsidR="00133B8D">
              <w:t>and</w:t>
            </w:r>
            <w:r>
              <w:t xml:space="preserve"> produced a range of important information including sati</w:t>
            </w:r>
            <w:r w:rsidR="000D4AFF">
              <w:t xml:space="preserve">sfaction measures. </w:t>
            </w:r>
            <w:r w:rsidR="00133B8D">
              <w:t>K</w:t>
            </w:r>
            <w:r>
              <w:t>ey</w:t>
            </w:r>
            <w:r w:rsidR="000D4AFF">
              <w:t xml:space="preserve"> to </w:t>
            </w:r>
            <w:r w:rsidR="00133B8D">
              <w:t>knowing</w:t>
            </w:r>
            <w:r w:rsidR="000D4AFF">
              <w:t xml:space="preserve"> the</w:t>
            </w:r>
            <w:r>
              <w:t xml:space="preserve"> effectiveness of the range of work that is being undertaken</w:t>
            </w:r>
            <w:r w:rsidR="00133B8D">
              <w:t xml:space="preserve"> will be</w:t>
            </w:r>
            <w:r>
              <w:t xml:space="preserve"> to </w:t>
            </w:r>
            <w:r w:rsidR="000D4AFF">
              <w:t xml:space="preserve">understand </w:t>
            </w:r>
            <w:r w:rsidR="00133B8D">
              <w:t xml:space="preserve">the </w:t>
            </w:r>
            <w:r w:rsidR="000D4AFF">
              <w:t xml:space="preserve">consumers’ experience </w:t>
            </w:r>
            <w:r w:rsidR="00133B8D">
              <w:t xml:space="preserve">through </w:t>
            </w:r>
            <w:r w:rsidR="000D4AFF">
              <w:t>an annual survey of consumer satisfaction.</w:t>
            </w:r>
          </w:p>
          <w:p w14:paraId="55FC8E42" w14:textId="77777777" w:rsidR="00A41D25" w:rsidRDefault="00A41D25" w:rsidP="000D4AFF"/>
          <w:p w14:paraId="54EA6B91" w14:textId="77777777" w:rsidR="00AA7D1D" w:rsidRDefault="00AA7D1D" w:rsidP="00774FD4"/>
        </w:tc>
        <w:tc>
          <w:tcPr>
            <w:tcW w:w="2255" w:type="dxa"/>
            <w:gridSpan w:val="2"/>
          </w:tcPr>
          <w:p w14:paraId="402D819A" w14:textId="77777777" w:rsidR="00AA7D1D" w:rsidRDefault="00AA7D1D"/>
        </w:tc>
        <w:tc>
          <w:tcPr>
            <w:tcW w:w="2495" w:type="dxa"/>
          </w:tcPr>
          <w:p w14:paraId="2CD1C850" w14:textId="77777777" w:rsidR="006E6521" w:rsidRDefault="006E6521">
            <w:r>
              <w:t>Develop measures that capture consumers’ experience.</w:t>
            </w:r>
          </w:p>
          <w:p w14:paraId="06FE76F7" w14:textId="77777777" w:rsidR="00AA7D1D" w:rsidRDefault="006E6521">
            <w:r>
              <w:t xml:space="preserve">Annual survey </w:t>
            </w:r>
            <w:r w:rsidR="00774FD4">
              <w:t>including a measure of consumer satisfaction.</w:t>
            </w:r>
          </w:p>
        </w:tc>
        <w:tc>
          <w:tcPr>
            <w:tcW w:w="2061" w:type="dxa"/>
          </w:tcPr>
          <w:p w14:paraId="6B26834C" w14:textId="77777777" w:rsidR="00AA7D1D" w:rsidRDefault="00774FD4">
            <w:r>
              <w:t>December annually.</w:t>
            </w:r>
          </w:p>
        </w:tc>
      </w:tr>
      <w:tr w:rsidR="006F1364" w:rsidRPr="006F1364" w14:paraId="74F28D0B" w14:textId="77777777" w:rsidTr="009661D6">
        <w:tc>
          <w:tcPr>
            <w:tcW w:w="14414" w:type="dxa"/>
            <w:gridSpan w:val="7"/>
            <w:shd w:val="clear" w:color="auto" w:fill="F2F2F2" w:themeFill="background1" w:themeFillShade="F2"/>
          </w:tcPr>
          <w:p w14:paraId="5B15F8B1" w14:textId="77777777" w:rsidR="006F1364" w:rsidRPr="002A4631" w:rsidRDefault="00BE3268" w:rsidP="009709D6">
            <w:pPr>
              <w:spacing w:line="420" w:lineRule="exact"/>
              <w:rPr>
                <w:rFonts w:ascii="Source Sans Pro" w:eastAsia="Source Sans Pro Semibold" w:hAnsi="Source Sans Pro" w:cs="Times New Roman"/>
                <w:color w:val="962D91"/>
                <w:sz w:val="28"/>
                <w:szCs w:val="28"/>
              </w:rPr>
            </w:pPr>
            <w:r>
              <w:rPr>
                <w:rFonts w:ascii="Source Sans Pro" w:eastAsia="Source Sans Pro Semibold" w:hAnsi="Source Sans Pro" w:cs="Times New Roman"/>
                <w:b/>
                <w:color w:val="962D91"/>
                <w:sz w:val="28"/>
                <w:szCs w:val="28"/>
              </w:rPr>
              <w:t>Priority</w:t>
            </w:r>
            <w:r w:rsidR="003A36E9" w:rsidRPr="002A4631">
              <w:rPr>
                <w:rFonts w:ascii="Source Sans Pro" w:eastAsia="Source Sans Pro Semibold" w:hAnsi="Source Sans Pro" w:cs="Times New Roman"/>
                <w:b/>
                <w:color w:val="962D91"/>
                <w:sz w:val="28"/>
                <w:szCs w:val="28"/>
              </w:rPr>
              <w:t xml:space="preserve"> 6</w:t>
            </w:r>
            <w:r w:rsidR="006F1364" w:rsidRPr="002A4631">
              <w:rPr>
                <w:rFonts w:ascii="Source Sans Pro" w:eastAsia="Source Sans Pro Semibold" w:hAnsi="Source Sans Pro" w:cs="Times New Roman"/>
                <w:b/>
                <w:color w:val="962D91"/>
                <w:sz w:val="28"/>
                <w:szCs w:val="28"/>
              </w:rPr>
              <w:t xml:space="preserve">.0 </w:t>
            </w:r>
            <w:r w:rsidR="00C813FA">
              <w:rPr>
                <w:rFonts w:ascii="Source Sans Pro" w:eastAsia="Source Sans Pro Semibold" w:hAnsi="Source Sans Pro" w:cs="Times New Roman"/>
                <w:b/>
                <w:color w:val="962D91"/>
                <w:sz w:val="28"/>
                <w:szCs w:val="28"/>
              </w:rPr>
              <w:t>Improve communication with Cochrane consumers</w:t>
            </w:r>
          </w:p>
        </w:tc>
      </w:tr>
      <w:tr w:rsidR="00AA7D1D" w14:paraId="67FFE3D0" w14:textId="77777777" w:rsidTr="009661D6">
        <w:tc>
          <w:tcPr>
            <w:tcW w:w="810" w:type="dxa"/>
          </w:tcPr>
          <w:p w14:paraId="1819CAAC"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6.1</w:t>
            </w:r>
          </w:p>
        </w:tc>
        <w:tc>
          <w:tcPr>
            <w:tcW w:w="2756" w:type="dxa"/>
          </w:tcPr>
          <w:p w14:paraId="3080DCB6" w14:textId="77777777" w:rsidR="00AA7D1D" w:rsidRDefault="00AA7D1D" w:rsidP="007F52D8">
            <w:r>
              <w:t>Develop an improved communication strategy incorporating the effective use of social media</w:t>
            </w:r>
            <w:r w:rsidR="009709D6">
              <w:t xml:space="preserve"> to improve the experience of being a Cochrane consumer</w:t>
            </w:r>
            <w:r>
              <w:t>.</w:t>
            </w:r>
          </w:p>
          <w:p w14:paraId="5A9FFCBF" w14:textId="77777777" w:rsidR="00AA7D1D" w:rsidRDefault="00AA7D1D"/>
        </w:tc>
        <w:tc>
          <w:tcPr>
            <w:tcW w:w="4037" w:type="dxa"/>
          </w:tcPr>
          <w:p w14:paraId="46B001EE" w14:textId="40146AA8" w:rsidR="00AA7D1D" w:rsidRDefault="00774FD4">
            <w:r>
              <w:t xml:space="preserve">The </w:t>
            </w:r>
            <w:r w:rsidR="00133B8D">
              <w:t xml:space="preserve">consumer </w:t>
            </w:r>
            <w:r>
              <w:t xml:space="preserve">survey </w:t>
            </w:r>
            <w:r w:rsidR="00133B8D">
              <w:t>completed in the</w:t>
            </w:r>
            <w:r>
              <w:t xml:space="preserve"> SFR 2015 revealed concerns about the way in which the organisation communicates with consumes. Working with the Communications team, the Consumer Executive will review its communications strategy (e.g. newsletters, social media, web presence etc.)</w:t>
            </w:r>
          </w:p>
        </w:tc>
        <w:tc>
          <w:tcPr>
            <w:tcW w:w="2255" w:type="dxa"/>
            <w:gridSpan w:val="2"/>
          </w:tcPr>
          <w:p w14:paraId="6946D96E" w14:textId="77777777" w:rsidR="00AA7D1D" w:rsidRDefault="00AA7D1D"/>
        </w:tc>
        <w:tc>
          <w:tcPr>
            <w:tcW w:w="2495" w:type="dxa"/>
          </w:tcPr>
          <w:p w14:paraId="5E104639" w14:textId="77777777" w:rsidR="00AA7D1D" w:rsidRDefault="00774FD4">
            <w:r>
              <w:t>Improved communications strategy.</w:t>
            </w:r>
          </w:p>
        </w:tc>
        <w:tc>
          <w:tcPr>
            <w:tcW w:w="2061" w:type="dxa"/>
          </w:tcPr>
          <w:p w14:paraId="3162DCD0" w14:textId="77777777" w:rsidR="00AA7D1D" w:rsidRDefault="00774FD4">
            <w:r>
              <w:t>Begins June 2016.</w:t>
            </w:r>
          </w:p>
          <w:p w14:paraId="38BDE4D0" w14:textId="77777777" w:rsidR="00774FD4" w:rsidRDefault="00774FD4">
            <w:r>
              <w:t>Ends December 2016</w:t>
            </w:r>
          </w:p>
        </w:tc>
      </w:tr>
      <w:tr w:rsidR="006F1364" w14:paraId="784BC88B" w14:textId="77777777" w:rsidTr="009661D6">
        <w:tc>
          <w:tcPr>
            <w:tcW w:w="14414" w:type="dxa"/>
            <w:gridSpan w:val="7"/>
            <w:shd w:val="clear" w:color="auto" w:fill="F2F2F2" w:themeFill="background1" w:themeFillShade="F2"/>
          </w:tcPr>
          <w:p w14:paraId="5ED3A41D" w14:textId="77777777" w:rsidR="006F1364" w:rsidRPr="00E8615A" w:rsidRDefault="00BE3268" w:rsidP="001F2314">
            <w:pPr>
              <w:spacing w:line="420" w:lineRule="exact"/>
              <w:rPr>
                <w:rFonts w:ascii="Source Sans Pro" w:eastAsia="Source Sans Pro Semibold" w:hAnsi="Source Sans Pro" w:cs="Times New Roman"/>
                <w:color w:val="962D91"/>
                <w:sz w:val="28"/>
                <w:szCs w:val="28"/>
              </w:rPr>
            </w:pPr>
            <w:r>
              <w:rPr>
                <w:rFonts w:ascii="Source Sans Pro" w:eastAsia="Source Sans Pro Semibold" w:hAnsi="Source Sans Pro" w:cs="Times New Roman"/>
                <w:b/>
                <w:color w:val="962D91"/>
                <w:sz w:val="28"/>
                <w:szCs w:val="28"/>
              </w:rPr>
              <w:t>Priority</w:t>
            </w:r>
            <w:r w:rsidR="006F1364" w:rsidRPr="00AB2574">
              <w:rPr>
                <w:rFonts w:ascii="Source Sans Pro" w:eastAsia="Source Sans Pro Semibold" w:hAnsi="Source Sans Pro" w:cs="Times New Roman"/>
                <w:b/>
                <w:color w:val="962D91"/>
                <w:sz w:val="28"/>
                <w:szCs w:val="28"/>
              </w:rPr>
              <w:t xml:space="preserve"> 7.0 </w:t>
            </w:r>
            <w:r w:rsidR="007152B0" w:rsidRPr="00AB2574">
              <w:rPr>
                <w:rFonts w:ascii="Source Sans Pro" w:eastAsia="Source Sans Pro Semibold" w:hAnsi="Source Sans Pro" w:cs="Times New Roman"/>
                <w:b/>
                <w:color w:val="962D91"/>
                <w:sz w:val="28"/>
                <w:szCs w:val="28"/>
              </w:rPr>
              <w:t xml:space="preserve">Build effective external partnerships </w:t>
            </w:r>
          </w:p>
        </w:tc>
      </w:tr>
      <w:tr w:rsidR="00AA7D1D" w:rsidRPr="006F1364" w14:paraId="5A0E4F17" w14:textId="77777777" w:rsidTr="009661D6">
        <w:tc>
          <w:tcPr>
            <w:tcW w:w="810" w:type="dxa"/>
            <w:shd w:val="clear" w:color="auto" w:fill="F2F2F2" w:themeFill="background1" w:themeFillShade="F2"/>
          </w:tcPr>
          <w:p w14:paraId="0E597ECD"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r w:rsidRPr="006F1364">
              <w:rPr>
                <w:rFonts w:ascii="Source Sans Pro" w:eastAsia="Source Sans Pro Semibold" w:hAnsi="Source Sans Pro" w:cs="Times New Roman"/>
                <w:color w:val="962D91"/>
                <w:sz w:val="28"/>
                <w:szCs w:val="28"/>
              </w:rPr>
              <w:t>7.1</w:t>
            </w:r>
          </w:p>
        </w:tc>
        <w:tc>
          <w:tcPr>
            <w:tcW w:w="2756" w:type="dxa"/>
          </w:tcPr>
          <w:p w14:paraId="1A622D28" w14:textId="77777777" w:rsidR="00AA7D1D" w:rsidRPr="006F1364" w:rsidRDefault="00AA7D1D" w:rsidP="001F2314">
            <w:pPr>
              <w:rPr>
                <w:rFonts w:ascii="Source Sans Pro" w:eastAsia="Source Sans Pro Semibold" w:hAnsi="Source Sans Pro" w:cs="Times New Roman"/>
                <w:color w:val="962D91"/>
                <w:sz w:val="28"/>
                <w:szCs w:val="28"/>
              </w:rPr>
            </w:pPr>
            <w:r w:rsidRPr="006F1364">
              <w:t xml:space="preserve">Work to develop strong partnership arrangements with a range of organisations that can support consumer involvement in </w:t>
            </w:r>
            <w:r w:rsidR="001F2314">
              <w:t>Cochrane, in line with the Cochrane Partnership Strategy</w:t>
            </w:r>
          </w:p>
        </w:tc>
        <w:tc>
          <w:tcPr>
            <w:tcW w:w="4037" w:type="dxa"/>
          </w:tcPr>
          <w:p w14:paraId="436B113A" w14:textId="09723747" w:rsidR="00AA7D1D" w:rsidRPr="006F1364" w:rsidRDefault="00EB7EC4" w:rsidP="00EB7EC4">
            <w:pPr>
              <w:rPr>
                <w:rFonts w:ascii="Source Sans Pro" w:eastAsia="Source Sans Pro Semibold" w:hAnsi="Source Sans Pro" w:cs="Times New Roman"/>
                <w:color w:val="962D91"/>
                <w:sz w:val="28"/>
                <w:szCs w:val="28"/>
              </w:rPr>
            </w:pPr>
            <w:r w:rsidRPr="00EB7EC4">
              <w:t xml:space="preserve">Cochrane </w:t>
            </w:r>
            <w:r>
              <w:t xml:space="preserve">works within a complex environment of partnership arrangements and funding bodies. Developing effective relationships with bodies outside Cochrane </w:t>
            </w:r>
            <w:r w:rsidR="001F2314">
              <w:t xml:space="preserve">is the subject of the Cochrane Partnership Strategy, and </w:t>
            </w:r>
            <w:r>
              <w:t xml:space="preserve">is essential to the development of consumer involvement. This is important </w:t>
            </w:r>
            <w:r w:rsidR="00DE2289">
              <w:t xml:space="preserve">not only </w:t>
            </w:r>
            <w:r>
              <w:t>at a global strategic level</w:t>
            </w:r>
            <w:r w:rsidR="00DE2289">
              <w:t xml:space="preserve"> but </w:t>
            </w:r>
            <w:r>
              <w:t>also at a regional level where such arrangement can help with recruitment, training, and collaboration. Work to develop closer relationships has already begun (for example meetings have already been held between UKCC and Involve and the James Lind Alliance). Cochrane is presently developing major strategic partnerships with global organisations. No suitable network exists for consumer involvement at this scale. It is proposed to work with others to assess the feasibility of building such a network with a potential launch in September 2017 at the global evidence conference in Cape Town.</w:t>
            </w:r>
          </w:p>
        </w:tc>
        <w:tc>
          <w:tcPr>
            <w:tcW w:w="2255" w:type="dxa"/>
            <w:gridSpan w:val="2"/>
          </w:tcPr>
          <w:p w14:paraId="7D80B2A9" w14:textId="77777777" w:rsidR="00AA7D1D" w:rsidRPr="006F1364" w:rsidRDefault="00AA7D1D" w:rsidP="006F1364">
            <w:pPr>
              <w:spacing w:line="420" w:lineRule="exact"/>
              <w:rPr>
                <w:rFonts w:ascii="Source Sans Pro" w:eastAsia="Source Sans Pro Semibold" w:hAnsi="Source Sans Pro" w:cs="Times New Roman"/>
                <w:color w:val="962D91"/>
                <w:sz w:val="28"/>
                <w:szCs w:val="28"/>
              </w:rPr>
            </w:pPr>
          </w:p>
        </w:tc>
        <w:tc>
          <w:tcPr>
            <w:tcW w:w="2495" w:type="dxa"/>
          </w:tcPr>
          <w:p w14:paraId="4D53005E" w14:textId="77777777" w:rsidR="00AA7D1D" w:rsidRPr="006F1364" w:rsidRDefault="00EB7EC4" w:rsidP="00EB7EC4">
            <w:pPr>
              <w:rPr>
                <w:rFonts w:ascii="Source Sans Pro" w:eastAsia="Source Sans Pro Semibold" w:hAnsi="Source Sans Pro" w:cs="Times New Roman"/>
                <w:color w:val="962D91"/>
                <w:sz w:val="28"/>
                <w:szCs w:val="28"/>
              </w:rPr>
            </w:pPr>
            <w:r w:rsidRPr="00EB7EC4">
              <w:t>Key partnerships developed at a regional</w:t>
            </w:r>
            <w:r>
              <w:t xml:space="preserve"> and at a global level, including a new, strategic international consumer involvement network</w:t>
            </w:r>
          </w:p>
        </w:tc>
        <w:tc>
          <w:tcPr>
            <w:tcW w:w="2061" w:type="dxa"/>
          </w:tcPr>
          <w:p w14:paraId="04420379" w14:textId="77777777" w:rsidR="00AA7D1D" w:rsidRPr="00EB7EC4" w:rsidRDefault="00EB7EC4" w:rsidP="00EB7EC4">
            <w:r w:rsidRPr="00EB7EC4">
              <w:t>Begins January 2016.</w:t>
            </w:r>
          </w:p>
          <w:p w14:paraId="738BECF4" w14:textId="77777777" w:rsidR="00EB7EC4" w:rsidRPr="006F1364" w:rsidRDefault="00EB7EC4" w:rsidP="00EB7EC4">
            <w:pPr>
              <w:rPr>
                <w:rFonts w:ascii="Source Sans Pro" w:eastAsia="Source Sans Pro Semibold" w:hAnsi="Source Sans Pro" w:cs="Times New Roman"/>
                <w:color w:val="962D91"/>
                <w:sz w:val="28"/>
                <w:szCs w:val="28"/>
              </w:rPr>
            </w:pPr>
            <w:r w:rsidRPr="00EB7EC4">
              <w:t>Ends September 2017.</w:t>
            </w:r>
          </w:p>
        </w:tc>
      </w:tr>
      <w:tr w:rsidR="00AB7E81" w:rsidRPr="006F1364" w14:paraId="1335A310" w14:textId="77777777" w:rsidTr="009661D6">
        <w:tc>
          <w:tcPr>
            <w:tcW w:w="14414" w:type="dxa"/>
            <w:gridSpan w:val="7"/>
            <w:shd w:val="clear" w:color="auto" w:fill="F2F2F2" w:themeFill="background1" w:themeFillShade="F2"/>
          </w:tcPr>
          <w:p w14:paraId="71FD0855" w14:textId="6DFEE14D" w:rsidR="00AB7E81" w:rsidRPr="001F2314" w:rsidRDefault="00BE3268" w:rsidP="009709D6">
            <w:pPr>
              <w:spacing w:line="420" w:lineRule="exact"/>
              <w:rPr>
                <w:sz w:val="28"/>
                <w:szCs w:val="28"/>
              </w:rPr>
            </w:pPr>
            <w:r>
              <w:rPr>
                <w:rFonts w:ascii="Source Sans Pro" w:eastAsia="Source Sans Pro Semibold" w:hAnsi="Source Sans Pro" w:cs="Times New Roman"/>
                <w:b/>
                <w:color w:val="962D91"/>
                <w:sz w:val="28"/>
                <w:szCs w:val="28"/>
              </w:rPr>
              <w:t>Priority</w:t>
            </w:r>
            <w:r w:rsidR="00AB7E81" w:rsidRPr="002A4631">
              <w:rPr>
                <w:rFonts w:ascii="Source Sans Pro" w:eastAsia="Source Sans Pro Semibold" w:hAnsi="Source Sans Pro" w:cs="Times New Roman"/>
                <w:b/>
                <w:color w:val="962D91"/>
                <w:sz w:val="28"/>
                <w:szCs w:val="28"/>
              </w:rPr>
              <w:t xml:space="preserve"> 8</w:t>
            </w:r>
            <w:r w:rsidR="00EF2C75" w:rsidRPr="002A4631">
              <w:rPr>
                <w:rFonts w:ascii="Source Sans Pro" w:eastAsia="Source Sans Pro Semibold" w:hAnsi="Source Sans Pro" w:cs="Times New Roman"/>
                <w:b/>
                <w:color w:val="962D91"/>
                <w:sz w:val="28"/>
                <w:szCs w:val="28"/>
              </w:rPr>
              <w:t>.0</w:t>
            </w:r>
            <w:r w:rsidR="00AB7E81" w:rsidRPr="002A4631">
              <w:rPr>
                <w:rFonts w:ascii="Source Sans Pro" w:eastAsia="Source Sans Pro Semibold" w:hAnsi="Source Sans Pro" w:cs="Times New Roman"/>
                <w:b/>
                <w:color w:val="962D91"/>
                <w:sz w:val="28"/>
                <w:szCs w:val="28"/>
              </w:rPr>
              <w:t xml:space="preserve"> </w:t>
            </w:r>
            <w:r w:rsidR="002A4631" w:rsidRPr="001F2314">
              <w:rPr>
                <w:rFonts w:ascii="Source Sans Pro" w:eastAsia="Source Sans Pro Semibold" w:hAnsi="Source Sans Pro" w:cs="Times New Roman"/>
                <w:b/>
                <w:color w:val="962D91"/>
                <w:sz w:val="28"/>
                <w:szCs w:val="28"/>
              </w:rPr>
              <w:t>Increase awareness</w:t>
            </w:r>
            <w:r w:rsidR="00CD4971">
              <w:rPr>
                <w:rFonts w:ascii="Source Sans Pro" w:eastAsia="Source Sans Pro Semibold" w:hAnsi="Source Sans Pro" w:cs="Times New Roman"/>
                <w:b/>
                <w:color w:val="962D91"/>
                <w:sz w:val="28"/>
                <w:szCs w:val="28"/>
              </w:rPr>
              <w:t xml:space="preserve"> of evidence-based medicine </w:t>
            </w:r>
            <w:r w:rsidR="002A4631" w:rsidRPr="001F2314">
              <w:rPr>
                <w:rFonts w:ascii="Source Sans Pro" w:eastAsia="Source Sans Pro Semibold" w:hAnsi="Source Sans Pro" w:cs="Times New Roman"/>
                <w:b/>
                <w:color w:val="962D91"/>
                <w:sz w:val="28"/>
                <w:szCs w:val="28"/>
              </w:rPr>
              <w:t xml:space="preserve">and </w:t>
            </w:r>
            <w:r w:rsidR="00CD4971">
              <w:rPr>
                <w:rFonts w:ascii="Source Sans Pro" w:eastAsia="Source Sans Pro Semibold" w:hAnsi="Source Sans Pro" w:cs="Times New Roman"/>
                <w:b/>
                <w:color w:val="962D91"/>
                <w:sz w:val="28"/>
                <w:szCs w:val="28"/>
              </w:rPr>
              <w:t xml:space="preserve">the </w:t>
            </w:r>
            <w:r w:rsidR="002A4631" w:rsidRPr="001F2314">
              <w:rPr>
                <w:rFonts w:ascii="Source Sans Pro" w:eastAsia="Source Sans Pro Semibold" w:hAnsi="Source Sans Pro" w:cs="Times New Roman"/>
                <w:b/>
                <w:color w:val="962D91"/>
                <w:sz w:val="28"/>
                <w:szCs w:val="28"/>
              </w:rPr>
              <w:t xml:space="preserve">use of Cochrane evidence among consumers worldwide </w:t>
            </w:r>
          </w:p>
        </w:tc>
      </w:tr>
      <w:tr w:rsidR="00AB7E81" w:rsidRPr="006F1364" w14:paraId="2A35C955" w14:textId="77777777" w:rsidTr="009661D6">
        <w:tc>
          <w:tcPr>
            <w:tcW w:w="810" w:type="dxa"/>
            <w:shd w:val="clear" w:color="auto" w:fill="F2F2F2" w:themeFill="background1" w:themeFillShade="F2"/>
          </w:tcPr>
          <w:p w14:paraId="0BBD4BCC" w14:textId="77777777" w:rsidR="00AB7E81" w:rsidRPr="006F1364" w:rsidRDefault="00225F2B" w:rsidP="006F1364">
            <w:pPr>
              <w:spacing w:line="420" w:lineRule="exact"/>
              <w:rPr>
                <w:rFonts w:ascii="Source Sans Pro" w:eastAsia="Source Sans Pro Semibold" w:hAnsi="Source Sans Pro" w:cs="Times New Roman"/>
                <w:color w:val="962D91"/>
                <w:sz w:val="28"/>
                <w:szCs w:val="28"/>
              </w:rPr>
            </w:pPr>
            <w:r>
              <w:rPr>
                <w:rFonts w:ascii="Source Sans Pro" w:eastAsia="Source Sans Pro Semibold" w:hAnsi="Source Sans Pro" w:cs="Times New Roman"/>
                <w:color w:val="962D91"/>
                <w:sz w:val="28"/>
                <w:szCs w:val="28"/>
              </w:rPr>
              <w:t>8.1</w:t>
            </w:r>
          </w:p>
        </w:tc>
        <w:tc>
          <w:tcPr>
            <w:tcW w:w="2756" w:type="dxa"/>
          </w:tcPr>
          <w:p w14:paraId="78118050" w14:textId="77777777" w:rsidR="00AB7E81" w:rsidRPr="006F1364" w:rsidRDefault="00287D18" w:rsidP="00287D18">
            <w:r>
              <w:t>Contribute to the development of the Cochrane Knowledge Transfer/mobilisation strategy and w</w:t>
            </w:r>
            <w:r w:rsidR="00240BE4">
              <w:t>ork with</w:t>
            </w:r>
            <w:r w:rsidR="009709D6">
              <w:t xml:space="preserve"> authors, review groups and centres </w:t>
            </w:r>
            <w:r w:rsidR="00AC269F">
              <w:t xml:space="preserve">to identify and build on good practice in raising awareness </w:t>
            </w:r>
            <w:r w:rsidR="001F2314">
              <w:t xml:space="preserve">of evidence based medicine </w:t>
            </w:r>
            <w:r w:rsidR="00AC269F">
              <w:t xml:space="preserve">and </w:t>
            </w:r>
            <w:r w:rsidR="001F2314">
              <w:t xml:space="preserve">the </w:t>
            </w:r>
            <w:r w:rsidR="00AC269F">
              <w:t xml:space="preserve">use of Cochrane evidence </w:t>
            </w:r>
            <w:r w:rsidR="009709D6">
              <w:t xml:space="preserve">amongst consumers and the </w:t>
            </w:r>
            <w:r w:rsidR="001F2314">
              <w:t>public.</w:t>
            </w:r>
          </w:p>
        </w:tc>
        <w:tc>
          <w:tcPr>
            <w:tcW w:w="4037" w:type="dxa"/>
          </w:tcPr>
          <w:p w14:paraId="52746789" w14:textId="7BE9DDBB" w:rsidR="00AB7E81" w:rsidRPr="00EB7EC4" w:rsidRDefault="00AC269F" w:rsidP="001F2314">
            <w:r>
              <w:t xml:space="preserve">A key role for the Consumer Network is </w:t>
            </w:r>
            <w:r w:rsidRPr="00AC269F">
              <w:t xml:space="preserve">to </w:t>
            </w:r>
            <w:r>
              <w:t xml:space="preserve">identify </w:t>
            </w:r>
            <w:r w:rsidRPr="00AC269F">
              <w:t xml:space="preserve">ways of increasing the </w:t>
            </w:r>
            <w:r>
              <w:t>awareness</w:t>
            </w:r>
            <w:r w:rsidR="001F2314">
              <w:t xml:space="preserve"> of evidence based medicine</w:t>
            </w:r>
            <w:r>
              <w:t xml:space="preserve"> and </w:t>
            </w:r>
            <w:r w:rsidR="001F2314">
              <w:t xml:space="preserve">the </w:t>
            </w:r>
            <w:r w:rsidRPr="00AC269F">
              <w:t>use of Cochrane evidence</w:t>
            </w:r>
            <w:r>
              <w:t>. There are examples of good practice (e.g. Evidently Cochrane, Cochrane Mexico</w:t>
            </w:r>
            <w:r w:rsidR="009709D6">
              <w:t xml:space="preserve">, </w:t>
            </w:r>
            <w:r w:rsidR="001F2314">
              <w:t>and Making</w:t>
            </w:r>
            <w:r w:rsidR="009709D6">
              <w:t xml:space="preserve"> Sense of MS Research</w:t>
            </w:r>
            <w:r w:rsidR="001F2314">
              <w:t xml:space="preserve">), </w:t>
            </w:r>
            <w:r w:rsidR="00DE2289">
              <w:t xml:space="preserve">and </w:t>
            </w:r>
            <w:r w:rsidR="001F2314">
              <w:t>Cochrane will be developing a knowledge transfer/mobilisation strategy in 2017</w:t>
            </w:r>
            <w:r w:rsidR="00DE2289">
              <w:t>.</w:t>
            </w:r>
            <w:r w:rsidR="001F2314">
              <w:t xml:space="preserve"> </w:t>
            </w:r>
            <w:r w:rsidR="00DE2289">
              <w:t>T</w:t>
            </w:r>
            <w:r w:rsidR="001F2314">
              <w:t>he CE can play an important role in developing and implementing this strategy.</w:t>
            </w:r>
            <w:r w:rsidR="00287D18">
              <w:t xml:space="preserve"> Cochrane Membership (Priority 4) along with Cochrane Crowd and Task Exchange, offer the opportunity to engage with a significantly larger group of consumers.</w:t>
            </w:r>
          </w:p>
        </w:tc>
        <w:tc>
          <w:tcPr>
            <w:tcW w:w="2255" w:type="dxa"/>
            <w:gridSpan w:val="2"/>
          </w:tcPr>
          <w:p w14:paraId="56B4D0F4" w14:textId="77777777" w:rsidR="00AB7E81" w:rsidRDefault="00287D18" w:rsidP="00AC269F">
            <w:r>
              <w:t>Knowledge Transfer/mobilisation strategy;</w:t>
            </w:r>
          </w:p>
          <w:p w14:paraId="71C106D7" w14:textId="77777777" w:rsidR="00287D18" w:rsidRPr="006F1364" w:rsidRDefault="00287D18" w:rsidP="00AC269F">
            <w:pPr>
              <w:rPr>
                <w:rFonts w:ascii="Source Sans Pro" w:eastAsia="Source Sans Pro Semibold" w:hAnsi="Source Sans Pro" w:cs="Times New Roman"/>
                <w:color w:val="962D91"/>
                <w:sz w:val="28"/>
                <w:szCs w:val="28"/>
              </w:rPr>
            </w:pPr>
            <w:r>
              <w:t>Cochrane Membership; Cochrane Crowd; Task Exchange.</w:t>
            </w:r>
          </w:p>
        </w:tc>
        <w:tc>
          <w:tcPr>
            <w:tcW w:w="2495" w:type="dxa"/>
          </w:tcPr>
          <w:p w14:paraId="15305D05" w14:textId="77777777" w:rsidR="00AB7E81" w:rsidRPr="00EB7EC4" w:rsidRDefault="001F2314" w:rsidP="00EB7EC4">
            <w:r>
              <w:t>Knowledge Transfer/mobilisation strategy</w:t>
            </w:r>
          </w:p>
        </w:tc>
        <w:tc>
          <w:tcPr>
            <w:tcW w:w="2061" w:type="dxa"/>
          </w:tcPr>
          <w:p w14:paraId="7B6D467B" w14:textId="77777777" w:rsidR="00AB7E81" w:rsidRPr="00EB7EC4" w:rsidRDefault="001F2314" w:rsidP="001F2314">
            <w:r>
              <w:t>Commence 2017 Complete by O</w:t>
            </w:r>
            <w:r w:rsidR="00AC269F">
              <w:t>ctober 2018.</w:t>
            </w:r>
          </w:p>
        </w:tc>
      </w:tr>
    </w:tbl>
    <w:p w14:paraId="6C79840A" w14:textId="77777777" w:rsidR="00016B24" w:rsidRDefault="00016B24"/>
    <w:p w14:paraId="0CCB5C63" w14:textId="77777777" w:rsidR="00A96E06" w:rsidRDefault="00A96E06"/>
    <w:p w14:paraId="70A3F30A" w14:textId="77777777" w:rsidR="007161AC" w:rsidRDefault="007161AC">
      <w:r>
        <w:br w:type="page"/>
      </w:r>
    </w:p>
    <w:tbl>
      <w:tblPr>
        <w:tblStyle w:val="TableGrid"/>
        <w:tblW w:w="0" w:type="auto"/>
        <w:tblLook w:val="04A0" w:firstRow="1" w:lastRow="0" w:firstColumn="1" w:lastColumn="0" w:noHBand="0" w:noVBand="1"/>
      </w:tblPr>
      <w:tblGrid>
        <w:gridCol w:w="629"/>
        <w:gridCol w:w="694"/>
        <w:gridCol w:w="666"/>
        <w:gridCol w:w="666"/>
        <w:gridCol w:w="665"/>
        <w:gridCol w:w="665"/>
        <w:gridCol w:w="665"/>
        <w:gridCol w:w="665"/>
        <w:gridCol w:w="665"/>
        <w:gridCol w:w="664"/>
        <w:gridCol w:w="664"/>
        <w:gridCol w:w="664"/>
        <w:gridCol w:w="664"/>
        <w:gridCol w:w="664"/>
        <w:gridCol w:w="664"/>
        <w:gridCol w:w="664"/>
        <w:gridCol w:w="664"/>
        <w:gridCol w:w="664"/>
        <w:gridCol w:w="664"/>
        <w:gridCol w:w="664"/>
        <w:gridCol w:w="664"/>
      </w:tblGrid>
      <w:tr w:rsidR="00697413" w:rsidRPr="0046753A" w14:paraId="307816F3" w14:textId="77777777" w:rsidTr="0046753A">
        <w:trPr>
          <w:trHeight w:val="20"/>
        </w:trPr>
        <w:tc>
          <w:tcPr>
            <w:tcW w:w="629" w:type="dxa"/>
            <w:shd w:val="clear" w:color="auto" w:fill="DBDBDB" w:themeFill="accent3" w:themeFillTint="66"/>
          </w:tcPr>
          <w:p w14:paraId="5CAFC5DC" w14:textId="77777777" w:rsidR="00697413" w:rsidRPr="0046753A" w:rsidRDefault="00697413" w:rsidP="0001299F">
            <w:pPr>
              <w:jc w:val="center"/>
              <w:rPr>
                <w:rFonts w:ascii="Source Sans Pro" w:eastAsia="Source Sans Pro Semibold" w:hAnsi="Source Sans Pro" w:cs="Times New Roman"/>
                <w:b/>
                <w:color w:val="962D91"/>
                <w:sz w:val="24"/>
                <w:szCs w:val="24"/>
              </w:rPr>
            </w:pPr>
          </w:p>
        </w:tc>
        <w:tc>
          <w:tcPr>
            <w:tcW w:w="2691" w:type="dxa"/>
            <w:gridSpan w:val="4"/>
            <w:shd w:val="clear" w:color="auto" w:fill="DBDBDB" w:themeFill="accent3" w:themeFillTint="66"/>
          </w:tcPr>
          <w:p w14:paraId="5E46733E" w14:textId="77777777" w:rsidR="00697413" w:rsidRPr="0046753A" w:rsidRDefault="00697413" w:rsidP="0001299F">
            <w:pPr>
              <w:jc w:val="cente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2016</w:t>
            </w:r>
          </w:p>
        </w:tc>
        <w:tc>
          <w:tcPr>
            <w:tcW w:w="2660" w:type="dxa"/>
            <w:gridSpan w:val="4"/>
            <w:shd w:val="clear" w:color="auto" w:fill="DBDBDB" w:themeFill="accent3" w:themeFillTint="66"/>
          </w:tcPr>
          <w:p w14:paraId="4FC0080F" w14:textId="77777777" w:rsidR="00697413" w:rsidRPr="0046753A" w:rsidRDefault="00697413" w:rsidP="0001299F">
            <w:pPr>
              <w:jc w:val="cente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2017</w:t>
            </w:r>
          </w:p>
        </w:tc>
        <w:tc>
          <w:tcPr>
            <w:tcW w:w="2656" w:type="dxa"/>
            <w:gridSpan w:val="4"/>
            <w:shd w:val="clear" w:color="auto" w:fill="DBDBDB" w:themeFill="accent3" w:themeFillTint="66"/>
          </w:tcPr>
          <w:p w14:paraId="15020EEE" w14:textId="77777777" w:rsidR="00697413" w:rsidRPr="0046753A" w:rsidRDefault="00697413" w:rsidP="0001299F">
            <w:pPr>
              <w:jc w:val="cente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2018</w:t>
            </w:r>
          </w:p>
        </w:tc>
        <w:tc>
          <w:tcPr>
            <w:tcW w:w="2656" w:type="dxa"/>
            <w:gridSpan w:val="4"/>
            <w:shd w:val="clear" w:color="auto" w:fill="DBDBDB" w:themeFill="accent3" w:themeFillTint="66"/>
          </w:tcPr>
          <w:p w14:paraId="0B036E05" w14:textId="77777777" w:rsidR="00697413" w:rsidRPr="0046753A" w:rsidRDefault="00697413" w:rsidP="0001299F">
            <w:pPr>
              <w:jc w:val="cente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2019</w:t>
            </w:r>
          </w:p>
        </w:tc>
        <w:tc>
          <w:tcPr>
            <w:tcW w:w="2656" w:type="dxa"/>
            <w:gridSpan w:val="4"/>
            <w:shd w:val="clear" w:color="auto" w:fill="DBDBDB" w:themeFill="accent3" w:themeFillTint="66"/>
          </w:tcPr>
          <w:p w14:paraId="1DA07A14" w14:textId="77777777" w:rsidR="00697413" w:rsidRPr="0046753A" w:rsidRDefault="00697413" w:rsidP="0001299F">
            <w:pPr>
              <w:jc w:val="cente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2020</w:t>
            </w:r>
          </w:p>
        </w:tc>
      </w:tr>
      <w:tr w:rsidR="00697413" w:rsidRPr="0046753A" w14:paraId="18CD485F" w14:textId="77777777" w:rsidTr="0046753A">
        <w:trPr>
          <w:trHeight w:val="20"/>
        </w:trPr>
        <w:tc>
          <w:tcPr>
            <w:tcW w:w="629" w:type="dxa"/>
            <w:shd w:val="clear" w:color="auto" w:fill="DBDBDB" w:themeFill="accent3" w:themeFillTint="66"/>
          </w:tcPr>
          <w:p w14:paraId="0A153F46" w14:textId="77777777" w:rsidR="00697413" w:rsidRPr="0046753A" w:rsidRDefault="00697413" w:rsidP="0001299F">
            <w:pPr>
              <w:rPr>
                <w:rFonts w:ascii="Source Sans Pro" w:eastAsia="Source Sans Pro Semibold" w:hAnsi="Source Sans Pro" w:cs="Times New Roman"/>
                <w:b/>
                <w:color w:val="962D91"/>
                <w:sz w:val="20"/>
                <w:szCs w:val="20"/>
              </w:rPr>
            </w:pPr>
          </w:p>
        </w:tc>
        <w:tc>
          <w:tcPr>
            <w:tcW w:w="694" w:type="dxa"/>
            <w:shd w:val="clear" w:color="auto" w:fill="DBDBDB" w:themeFill="accent3" w:themeFillTint="66"/>
          </w:tcPr>
          <w:p w14:paraId="6C290F7B"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Q1</w:t>
            </w:r>
          </w:p>
        </w:tc>
        <w:tc>
          <w:tcPr>
            <w:tcW w:w="666" w:type="dxa"/>
            <w:shd w:val="clear" w:color="auto" w:fill="DBDBDB" w:themeFill="accent3" w:themeFillTint="66"/>
          </w:tcPr>
          <w:p w14:paraId="7E43E494"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Q2</w:t>
            </w:r>
          </w:p>
        </w:tc>
        <w:tc>
          <w:tcPr>
            <w:tcW w:w="666" w:type="dxa"/>
            <w:shd w:val="clear" w:color="auto" w:fill="DBDBDB" w:themeFill="accent3" w:themeFillTint="66"/>
          </w:tcPr>
          <w:p w14:paraId="0DA50E8F"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Q3</w:t>
            </w:r>
          </w:p>
        </w:tc>
        <w:tc>
          <w:tcPr>
            <w:tcW w:w="665" w:type="dxa"/>
            <w:shd w:val="clear" w:color="auto" w:fill="DBDBDB" w:themeFill="accent3" w:themeFillTint="66"/>
          </w:tcPr>
          <w:p w14:paraId="102C431E"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Q4</w:t>
            </w:r>
          </w:p>
        </w:tc>
        <w:tc>
          <w:tcPr>
            <w:tcW w:w="665" w:type="dxa"/>
            <w:shd w:val="clear" w:color="auto" w:fill="DBDBDB" w:themeFill="accent3" w:themeFillTint="66"/>
          </w:tcPr>
          <w:p w14:paraId="0D178E19"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Q1</w:t>
            </w:r>
          </w:p>
        </w:tc>
        <w:tc>
          <w:tcPr>
            <w:tcW w:w="665" w:type="dxa"/>
            <w:shd w:val="clear" w:color="auto" w:fill="DBDBDB" w:themeFill="accent3" w:themeFillTint="66"/>
          </w:tcPr>
          <w:p w14:paraId="5BB31166"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Q2</w:t>
            </w:r>
          </w:p>
        </w:tc>
        <w:tc>
          <w:tcPr>
            <w:tcW w:w="665" w:type="dxa"/>
            <w:shd w:val="clear" w:color="auto" w:fill="DBDBDB" w:themeFill="accent3" w:themeFillTint="66"/>
          </w:tcPr>
          <w:p w14:paraId="7FAF585B"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Q3</w:t>
            </w:r>
          </w:p>
        </w:tc>
        <w:tc>
          <w:tcPr>
            <w:tcW w:w="665" w:type="dxa"/>
            <w:shd w:val="clear" w:color="auto" w:fill="DBDBDB" w:themeFill="accent3" w:themeFillTint="66"/>
          </w:tcPr>
          <w:p w14:paraId="04DDA741"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Q4</w:t>
            </w:r>
          </w:p>
        </w:tc>
        <w:tc>
          <w:tcPr>
            <w:tcW w:w="664" w:type="dxa"/>
            <w:shd w:val="clear" w:color="auto" w:fill="DBDBDB" w:themeFill="accent3" w:themeFillTint="66"/>
          </w:tcPr>
          <w:p w14:paraId="46661665"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Q1</w:t>
            </w:r>
          </w:p>
        </w:tc>
        <w:tc>
          <w:tcPr>
            <w:tcW w:w="664" w:type="dxa"/>
            <w:shd w:val="clear" w:color="auto" w:fill="DBDBDB" w:themeFill="accent3" w:themeFillTint="66"/>
          </w:tcPr>
          <w:p w14:paraId="5575F9DB"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Q2</w:t>
            </w:r>
          </w:p>
        </w:tc>
        <w:tc>
          <w:tcPr>
            <w:tcW w:w="664" w:type="dxa"/>
            <w:shd w:val="clear" w:color="auto" w:fill="DBDBDB" w:themeFill="accent3" w:themeFillTint="66"/>
          </w:tcPr>
          <w:p w14:paraId="29FF263E"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Q3</w:t>
            </w:r>
          </w:p>
        </w:tc>
        <w:tc>
          <w:tcPr>
            <w:tcW w:w="664" w:type="dxa"/>
            <w:shd w:val="clear" w:color="auto" w:fill="DBDBDB" w:themeFill="accent3" w:themeFillTint="66"/>
          </w:tcPr>
          <w:p w14:paraId="3C6AF0A4"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Q4</w:t>
            </w:r>
          </w:p>
        </w:tc>
        <w:tc>
          <w:tcPr>
            <w:tcW w:w="664" w:type="dxa"/>
            <w:shd w:val="clear" w:color="auto" w:fill="DBDBDB" w:themeFill="accent3" w:themeFillTint="66"/>
          </w:tcPr>
          <w:p w14:paraId="6D9E8E6E"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Q1</w:t>
            </w:r>
          </w:p>
        </w:tc>
        <w:tc>
          <w:tcPr>
            <w:tcW w:w="664" w:type="dxa"/>
            <w:shd w:val="clear" w:color="auto" w:fill="DBDBDB" w:themeFill="accent3" w:themeFillTint="66"/>
          </w:tcPr>
          <w:p w14:paraId="76CAFD68"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Q2</w:t>
            </w:r>
          </w:p>
        </w:tc>
        <w:tc>
          <w:tcPr>
            <w:tcW w:w="664" w:type="dxa"/>
            <w:shd w:val="clear" w:color="auto" w:fill="DBDBDB" w:themeFill="accent3" w:themeFillTint="66"/>
          </w:tcPr>
          <w:p w14:paraId="64686AE7"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Q3</w:t>
            </w:r>
          </w:p>
        </w:tc>
        <w:tc>
          <w:tcPr>
            <w:tcW w:w="664" w:type="dxa"/>
            <w:shd w:val="clear" w:color="auto" w:fill="DBDBDB" w:themeFill="accent3" w:themeFillTint="66"/>
          </w:tcPr>
          <w:p w14:paraId="14D9FDF5"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Q4</w:t>
            </w:r>
          </w:p>
        </w:tc>
        <w:tc>
          <w:tcPr>
            <w:tcW w:w="664" w:type="dxa"/>
            <w:shd w:val="clear" w:color="auto" w:fill="DBDBDB" w:themeFill="accent3" w:themeFillTint="66"/>
          </w:tcPr>
          <w:p w14:paraId="09F051E9"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Q1</w:t>
            </w:r>
          </w:p>
        </w:tc>
        <w:tc>
          <w:tcPr>
            <w:tcW w:w="664" w:type="dxa"/>
            <w:shd w:val="clear" w:color="auto" w:fill="DBDBDB" w:themeFill="accent3" w:themeFillTint="66"/>
          </w:tcPr>
          <w:p w14:paraId="63830A12"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Q2</w:t>
            </w:r>
          </w:p>
        </w:tc>
        <w:tc>
          <w:tcPr>
            <w:tcW w:w="664" w:type="dxa"/>
            <w:shd w:val="clear" w:color="auto" w:fill="DBDBDB" w:themeFill="accent3" w:themeFillTint="66"/>
          </w:tcPr>
          <w:p w14:paraId="352637BF"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Q3</w:t>
            </w:r>
          </w:p>
        </w:tc>
        <w:tc>
          <w:tcPr>
            <w:tcW w:w="664" w:type="dxa"/>
            <w:shd w:val="clear" w:color="auto" w:fill="DBDBDB" w:themeFill="accent3" w:themeFillTint="66"/>
          </w:tcPr>
          <w:p w14:paraId="163560BF" w14:textId="77777777" w:rsidR="00697413" w:rsidRPr="0046753A" w:rsidRDefault="00697413" w:rsidP="0001299F">
            <w:pPr>
              <w:rPr>
                <w:rFonts w:ascii="Source Sans Pro" w:eastAsia="Source Sans Pro Semibold" w:hAnsi="Source Sans Pro" w:cs="Times New Roman"/>
                <w:b/>
                <w:color w:val="962D91"/>
                <w:sz w:val="20"/>
                <w:szCs w:val="20"/>
              </w:rPr>
            </w:pPr>
            <w:r w:rsidRPr="0046753A">
              <w:rPr>
                <w:rFonts w:ascii="Source Sans Pro" w:eastAsia="Source Sans Pro Semibold" w:hAnsi="Source Sans Pro" w:cs="Times New Roman"/>
                <w:b/>
                <w:color w:val="962D91"/>
                <w:sz w:val="20"/>
                <w:szCs w:val="20"/>
              </w:rPr>
              <w:t>Q4</w:t>
            </w:r>
          </w:p>
        </w:tc>
      </w:tr>
      <w:tr w:rsidR="00EF2C75" w:rsidRPr="0046753A" w14:paraId="32525C04" w14:textId="77777777" w:rsidTr="0046753A">
        <w:trPr>
          <w:trHeight w:val="20"/>
        </w:trPr>
        <w:tc>
          <w:tcPr>
            <w:tcW w:w="13948" w:type="dxa"/>
            <w:gridSpan w:val="21"/>
            <w:shd w:val="clear" w:color="auto" w:fill="DBDBDB" w:themeFill="accent3" w:themeFillTint="66"/>
          </w:tcPr>
          <w:p w14:paraId="165E14D8" w14:textId="77777777" w:rsidR="00EF2C75" w:rsidRPr="0046753A" w:rsidRDefault="00EF2C75" w:rsidP="00F52E94">
            <w:pPr>
              <w:rPr>
                <w:sz w:val="24"/>
                <w:szCs w:val="24"/>
              </w:rPr>
            </w:pPr>
            <w:r w:rsidRPr="0046753A">
              <w:rPr>
                <w:rFonts w:ascii="Source Sans Pro" w:eastAsia="Source Sans Pro Semibold" w:hAnsi="Source Sans Pro" w:cs="Times New Roman"/>
                <w:b/>
                <w:color w:val="962D91"/>
                <w:sz w:val="24"/>
                <w:szCs w:val="24"/>
              </w:rPr>
              <w:t xml:space="preserve">Objective 1.0 </w:t>
            </w:r>
            <w:r w:rsidR="00F52E94" w:rsidRPr="00F52E94">
              <w:rPr>
                <w:rFonts w:ascii="Source Sans Pro" w:eastAsia="Source Sans Pro Semibold" w:hAnsi="Source Sans Pro" w:cs="Times New Roman"/>
                <w:b/>
                <w:color w:val="962D91"/>
                <w:sz w:val="24"/>
                <w:szCs w:val="24"/>
              </w:rPr>
              <w:t>Develop and adopt a statement of principles about consumer involvement in Cochrane</w:t>
            </w:r>
          </w:p>
        </w:tc>
      </w:tr>
      <w:tr w:rsidR="00697413" w14:paraId="2C1A5F01" w14:textId="77777777" w:rsidTr="0046753A">
        <w:trPr>
          <w:trHeight w:val="20"/>
        </w:trPr>
        <w:tc>
          <w:tcPr>
            <w:tcW w:w="629" w:type="dxa"/>
            <w:shd w:val="clear" w:color="auto" w:fill="DBDBDB" w:themeFill="accent3" w:themeFillTint="66"/>
          </w:tcPr>
          <w:p w14:paraId="1CA0CC1D" w14:textId="77777777" w:rsidR="00697413" w:rsidRDefault="00697413" w:rsidP="00697413">
            <w:r>
              <w:t>1.1</w:t>
            </w:r>
          </w:p>
        </w:tc>
        <w:tc>
          <w:tcPr>
            <w:tcW w:w="694" w:type="dxa"/>
            <w:shd w:val="clear" w:color="auto" w:fill="FFC000"/>
          </w:tcPr>
          <w:p w14:paraId="5FC33306" w14:textId="77777777" w:rsidR="00697413" w:rsidRPr="00ED063F" w:rsidRDefault="00697413" w:rsidP="00697413">
            <w:pPr>
              <w:rPr>
                <w:color w:val="FF0000"/>
                <w:highlight w:val="red"/>
              </w:rPr>
            </w:pPr>
          </w:p>
        </w:tc>
        <w:tc>
          <w:tcPr>
            <w:tcW w:w="666" w:type="dxa"/>
            <w:shd w:val="clear" w:color="auto" w:fill="FFC000"/>
          </w:tcPr>
          <w:p w14:paraId="5E8959C0" w14:textId="77777777" w:rsidR="00697413" w:rsidRPr="00ED063F" w:rsidRDefault="00697413" w:rsidP="00697413">
            <w:pPr>
              <w:rPr>
                <w:color w:val="FF0000"/>
                <w:highlight w:val="red"/>
              </w:rPr>
            </w:pPr>
          </w:p>
        </w:tc>
        <w:tc>
          <w:tcPr>
            <w:tcW w:w="666" w:type="dxa"/>
            <w:shd w:val="clear" w:color="auto" w:fill="FFC000"/>
          </w:tcPr>
          <w:p w14:paraId="5644FC28" w14:textId="77777777" w:rsidR="00697413" w:rsidRPr="00ED063F" w:rsidRDefault="00697413" w:rsidP="00697413">
            <w:pPr>
              <w:rPr>
                <w:color w:val="FF0000"/>
                <w:highlight w:val="red"/>
              </w:rPr>
            </w:pPr>
          </w:p>
        </w:tc>
        <w:tc>
          <w:tcPr>
            <w:tcW w:w="665" w:type="dxa"/>
          </w:tcPr>
          <w:p w14:paraId="2F8A6977" w14:textId="77777777" w:rsidR="00697413" w:rsidRDefault="00697413" w:rsidP="00697413"/>
        </w:tc>
        <w:tc>
          <w:tcPr>
            <w:tcW w:w="665" w:type="dxa"/>
          </w:tcPr>
          <w:p w14:paraId="6BFCD963" w14:textId="77777777" w:rsidR="00697413" w:rsidRDefault="00697413" w:rsidP="00697413"/>
        </w:tc>
        <w:tc>
          <w:tcPr>
            <w:tcW w:w="665" w:type="dxa"/>
          </w:tcPr>
          <w:p w14:paraId="5E2C9F07" w14:textId="77777777" w:rsidR="00697413" w:rsidRDefault="00697413" w:rsidP="00697413"/>
        </w:tc>
        <w:tc>
          <w:tcPr>
            <w:tcW w:w="665" w:type="dxa"/>
          </w:tcPr>
          <w:p w14:paraId="70DDB751" w14:textId="77777777" w:rsidR="00697413" w:rsidRDefault="00697413" w:rsidP="00697413"/>
        </w:tc>
        <w:tc>
          <w:tcPr>
            <w:tcW w:w="665" w:type="dxa"/>
          </w:tcPr>
          <w:p w14:paraId="04CE8E39" w14:textId="77777777" w:rsidR="00697413" w:rsidRDefault="00697413" w:rsidP="00697413"/>
        </w:tc>
        <w:tc>
          <w:tcPr>
            <w:tcW w:w="664" w:type="dxa"/>
          </w:tcPr>
          <w:p w14:paraId="0332D47D" w14:textId="77777777" w:rsidR="00697413" w:rsidRDefault="00697413" w:rsidP="00697413"/>
        </w:tc>
        <w:tc>
          <w:tcPr>
            <w:tcW w:w="664" w:type="dxa"/>
          </w:tcPr>
          <w:p w14:paraId="500E603A" w14:textId="77777777" w:rsidR="00697413" w:rsidRDefault="00697413" w:rsidP="00697413"/>
        </w:tc>
        <w:tc>
          <w:tcPr>
            <w:tcW w:w="664" w:type="dxa"/>
          </w:tcPr>
          <w:p w14:paraId="528E8057" w14:textId="77777777" w:rsidR="00697413" w:rsidRDefault="00697413" w:rsidP="00697413"/>
        </w:tc>
        <w:tc>
          <w:tcPr>
            <w:tcW w:w="664" w:type="dxa"/>
          </w:tcPr>
          <w:p w14:paraId="3FDE7055" w14:textId="77777777" w:rsidR="00697413" w:rsidRDefault="00697413" w:rsidP="00697413"/>
        </w:tc>
        <w:tc>
          <w:tcPr>
            <w:tcW w:w="664" w:type="dxa"/>
          </w:tcPr>
          <w:p w14:paraId="538847D7" w14:textId="77777777" w:rsidR="00697413" w:rsidRDefault="00697413" w:rsidP="00697413"/>
        </w:tc>
        <w:tc>
          <w:tcPr>
            <w:tcW w:w="664" w:type="dxa"/>
          </w:tcPr>
          <w:p w14:paraId="2E38F094" w14:textId="77777777" w:rsidR="00697413" w:rsidRDefault="00697413" w:rsidP="00697413"/>
        </w:tc>
        <w:tc>
          <w:tcPr>
            <w:tcW w:w="664" w:type="dxa"/>
          </w:tcPr>
          <w:p w14:paraId="59721FB4" w14:textId="77777777" w:rsidR="00697413" w:rsidRDefault="00697413" w:rsidP="00697413"/>
        </w:tc>
        <w:tc>
          <w:tcPr>
            <w:tcW w:w="664" w:type="dxa"/>
          </w:tcPr>
          <w:p w14:paraId="0A37103D" w14:textId="77777777" w:rsidR="00697413" w:rsidRDefault="00697413" w:rsidP="00697413"/>
        </w:tc>
        <w:tc>
          <w:tcPr>
            <w:tcW w:w="664" w:type="dxa"/>
          </w:tcPr>
          <w:p w14:paraId="7D76B173" w14:textId="77777777" w:rsidR="00697413" w:rsidRDefault="00697413" w:rsidP="00697413"/>
        </w:tc>
        <w:tc>
          <w:tcPr>
            <w:tcW w:w="664" w:type="dxa"/>
          </w:tcPr>
          <w:p w14:paraId="4D8278F2" w14:textId="77777777" w:rsidR="00697413" w:rsidRDefault="00697413" w:rsidP="00697413"/>
        </w:tc>
        <w:tc>
          <w:tcPr>
            <w:tcW w:w="664" w:type="dxa"/>
          </w:tcPr>
          <w:p w14:paraId="2166B29C" w14:textId="77777777" w:rsidR="00697413" w:rsidRDefault="00697413" w:rsidP="00697413"/>
        </w:tc>
        <w:tc>
          <w:tcPr>
            <w:tcW w:w="664" w:type="dxa"/>
          </w:tcPr>
          <w:p w14:paraId="7BDEC437" w14:textId="77777777" w:rsidR="00697413" w:rsidRDefault="00697413" w:rsidP="00697413"/>
        </w:tc>
      </w:tr>
      <w:tr w:rsidR="00EF2C75" w:rsidRPr="0046753A" w14:paraId="528EE2A3" w14:textId="77777777" w:rsidTr="0046753A">
        <w:trPr>
          <w:trHeight w:val="20"/>
        </w:trPr>
        <w:tc>
          <w:tcPr>
            <w:tcW w:w="13948" w:type="dxa"/>
            <w:gridSpan w:val="21"/>
            <w:shd w:val="clear" w:color="auto" w:fill="DBDBDB" w:themeFill="accent3" w:themeFillTint="66"/>
          </w:tcPr>
          <w:p w14:paraId="0ABB67EF"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 xml:space="preserve">Objective 2.0 </w:t>
            </w:r>
            <w:r w:rsidR="00F52E94" w:rsidRPr="00F52E94">
              <w:rPr>
                <w:rFonts w:ascii="Source Sans Pro" w:eastAsia="Source Sans Pro Semibold" w:hAnsi="Source Sans Pro" w:cs="Times New Roman"/>
                <w:b/>
                <w:color w:val="962D91"/>
                <w:sz w:val="24"/>
                <w:szCs w:val="24"/>
              </w:rPr>
              <w:t>Integrate consumer involvement and representation in decision-making groups at all levels in Cochrane</w:t>
            </w:r>
          </w:p>
        </w:tc>
      </w:tr>
      <w:tr w:rsidR="00697413" w14:paraId="57546AC4" w14:textId="77777777" w:rsidTr="0046753A">
        <w:trPr>
          <w:trHeight w:val="20"/>
        </w:trPr>
        <w:tc>
          <w:tcPr>
            <w:tcW w:w="629" w:type="dxa"/>
            <w:shd w:val="clear" w:color="auto" w:fill="DBDBDB" w:themeFill="accent3" w:themeFillTint="66"/>
          </w:tcPr>
          <w:p w14:paraId="4E996480" w14:textId="77777777" w:rsidR="00697413" w:rsidRDefault="00697413" w:rsidP="00697413">
            <w:r>
              <w:t>2.1</w:t>
            </w:r>
          </w:p>
        </w:tc>
        <w:tc>
          <w:tcPr>
            <w:tcW w:w="694" w:type="dxa"/>
            <w:shd w:val="clear" w:color="auto" w:fill="FFC000"/>
          </w:tcPr>
          <w:p w14:paraId="6DB161CE" w14:textId="77777777" w:rsidR="00697413" w:rsidRDefault="00697413" w:rsidP="00697413"/>
        </w:tc>
        <w:tc>
          <w:tcPr>
            <w:tcW w:w="666" w:type="dxa"/>
            <w:shd w:val="clear" w:color="auto" w:fill="FFC000"/>
          </w:tcPr>
          <w:p w14:paraId="49021DD6" w14:textId="77777777" w:rsidR="00697413" w:rsidRDefault="00697413" w:rsidP="00697413"/>
        </w:tc>
        <w:tc>
          <w:tcPr>
            <w:tcW w:w="666" w:type="dxa"/>
            <w:shd w:val="clear" w:color="auto" w:fill="FFC000"/>
          </w:tcPr>
          <w:p w14:paraId="713F7A46" w14:textId="77777777" w:rsidR="00697413" w:rsidRDefault="00697413" w:rsidP="00697413"/>
        </w:tc>
        <w:tc>
          <w:tcPr>
            <w:tcW w:w="665" w:type="dxa"/>
          </w:tcPr>
          <w:p w14:paraId="2B42BFF9" w14:textId="77777777" w:rsidR="00697413" w:rsidRDefault="00697413" w:rsidP="00697413"/>
        </w:tc>
        <w:tc>
          <w:tcPr>
            <w:tcW w:w="665" w:type="dxa"/>
          </w:tcPr>
          <w:p w14:paraId="3ACB86B4" w14:textId="77777777" w:rsidR="00697413" w:rsidRDefault="00697413" w:rsidP="00697413"/>
        </w:tc>
        <w:tc>
          <w:tcPr>
            <w:tcW w:w="665" w:type="dxa"/>
          </w:tcPr>
          <w:p w14:paraId="2CFB79AA" w14:textId="77777777" w:rsidR="00697413" w:rsidRDefault="00697413" w:rsidP="00697413"/>
        </w:tc>
        <w:tc>
          <w:tcPr>
            <w:tcW w:w="665" w:type="dxa"/>
          </w:tcPr>
          <w:p w14:paraId="4677332B" w14:textId="77777777" w:rsidR="00697413" w:rsidRDefault="00697413" w:rsidP="00697413"/>
        </w:tc>
        <w:tc>
          <w:tcPr>
            <w:tcW w:w="665" w:type="dxa"/>
          </w:tcPr>
          <w:p w14:paraId="65F2CC3D" w14:textId="77777777" w:rsidR="00697413" w:rsidRDefault="00697413" w:rsidP="00697413"/>
        </w:tc>
        <w:tc>
          <w:tcPr>
            <w:tcW w:w="664" w:type="dxa"/>
          </w:tcPr>
          <w:p w14:paraId="2E923546" w14:textId="77777777" w:rsidR="00697413" w:rsidRDefault="00697413" w:rsidP="00697413"/>
        </w:tc>
        <w:tc>
          <w:tcPr>
            <w:tcW w:w="664" w:type="dxa"/>
          </w:tcPr>
          <w:p w14:paraId="3A129499" w14:textId="77777777" w:rsidR="00697413" w:rsidRDefault="00697413" w:rsidP="00697413"/>
        </w:tc>
        <w:tc>
          <w:tcPr>
            <w:tcW w:w="664" w:type="dxa"/>
          </w:tcPr>
          <w:p w14:paraId="75DB8712" w14:textId="77777777" w:rsidR="00697413" w:rsidRDefault="00697413" w:rsidP="00697413"/>
        </w:tc>
        <w:tc>
          <w:tcPr>
            <w:tcW w:w="664" w:type="dxa"/>
          </w:tcPr>
          <w:p w14:paraId="01D9C769" w14:textId="77777777" w:rsidR="00697413" w:rsidRDefault="00697413" w:rsidP="00697413"/>
        </w:tc>
        <w:tc>
          <w:tcPr>
            <w:tcW w:w="664" w:type="dxa"/>
          </w:tcPr>
          <w:p w14:paraId="1AC3C304" w14:textId="77777777" w:rsidR="00697413" w:rsidRDefault="00697413" w:rsidP="00697413"/>
        </w:tc>
        <w:tc>
          <w:tcPr>
            <w:tcW w:w="664" w:type="dxa"/>
          </w:tcPr>
          <w:p w14:paraId="631D28F3" w14:textId="77777777" w:rsidR="00697413" w:rsidRDefault="00697413" w:rsidP="00697413"/>
        </w:tc>
        <w:tc>
          <w:tcPr>
            <w:tcW w:w="664" w:type="dxa"/>
          </w:tcPr>
          <w:p w14:paraId="70B8E178" w14:textId="77777777" w:rsidR="00697413" w:rsidRDefault="00697413" w:rsidP="00697413"/>
        </w:tc>
        <w:tc>
          <w:tcPr>
            <w:tcW w:w="664" w:type="dxa"/>
          </w:tcPr>
          <w:p w14:paraId="7FAEA7B5" w14:textId="77777777" w:rsidR="00697413" w:rsidRDefault="00697413" w:rsidP="00697413"/>
        </w:tc>
        <w:tc>
          <w:tcPr>
            <w:tcW w:w="664" w:type="dxa"/>
          </w:tcPr>
          <w:p w14:paraId="6A64D957" w14:textId="77777777" w:rsidR="00697413" w:rsidRDefault="00697413" w:rsidP="00697413"/>
        </w:tc>
        <w:tc>
          <w:tcPr>
            <w:tcW w:w="664" w:type="dxa"/>
          </w:tcPr>
          <w:p w14:paraId="39F2D1EC" w14:textId="77777777" w:rsidR="00697413" w:rsidRDefault="00697413" w:rsidP="00697413"/>
        </w:tc>
        <w:tc>
          <w:tcPr>
            <w:tcW w:w="664" w:type="dxa"/>
          </w:tcPr>
          <w:p w14:paraId="336C131E" w14:textId="77777777" w:rsidR="00697413" w:rsidRDefault="00697413" w:rsidP="00697413"/>
        </w:tc>
        <w:tc>
          <w:tcPr>
            <w:tcW w:w="664" w:type="dxa"/>
          </w:tcPr>
          <w:p w14:paraId="54262B35" w14:textId="77777777" w:rsidR="00697413" w:rsidRDefault="00697413" w:rsidP="00697413"/>
        </w:tc>
      </w:tr>
      <w:tr w:rsidR="00697413" w14:paraId="6E302612" w14:textId="77777777" w:rsidTr="0046753A">
        <w:trPr>
          <w:trHeight w:val="20"/>
        </w:trPr>
        <w:tc>
          <w:tcPr>
            <w:tcW w:w="629" w:type="dxa"/>
            <w:shd w:val="clear" w:color="auto" w:fill="DBDBDB" w:themeFill="accent3" w:themeFillTint="66"/>
          </w:tcPr>
          <w:p w14:paraId="5C90CB3A" w14:textId="77777777" w:rsidR="00697413" w:rsidRDefault="00697413" w:rsidP="00697413">
            <w:r>
              <w:t>2.2</w:t>
            </w:r>
          </w:p>
        </w:tc>
        <w:tc>
          <w:tcPr>
            <w:tcW w:w="694" w:type="dxa"/>
            <w:shd w:val="clear" w:color="auto" w:fill="FFC000"/>
          </w:tcPr>
          <w:p w14:paraId="39D14ABC" w14:textId="77777777" w:rsidR="00697413" w:rsidRDefault="00697413" w:rsidP="00697413"/>
        </w:tc>
        <w:tc>
          <w:tcPr>
            <w:tcW w:w="666" w:type="dxa"/>
            <w:shd w:val="clear" w:color="auto" w:fill="FFC000"/>
          </w:tcPr>
          <w:p w14:paraId="2D2CDFE5" w14:textId="77777777" w:rsidR="00697413" w:rsidRDefault="00697413" w:rsidP="00697413"/>
        </w:tc>
        <w:tc>
          <w:tcPr>
            <w:tcW w:w="666" w:type="dxa"/>
            <w:shd w:val="clear" w:color="auto" w:fill="FFC000"/>
          </w:tcPr>
          <w:p w14:paraId="2D96269D" w14:textId="77777777" w:rsidR="00697413" w:rsidRDefault="00697413" w:rsidP="00697413"/>
        </w:tc>
        <w:tc>
          <w:tcPr>
            <w:tcW w:w="665" w:type="dxa"/>
            <w:shd w:val="clear" w:color="auto" w:fill="FFC000"/>
          </w:tcPr>
          <w:p w14:paraId="74542761" w14:textId="77777777" w:rsidR="00697413" w:rsidRDefault="00697413" w:rsidP="00697413"/>
        </w:tc>
        <w:tc>
          <w:tcPr>
            <w:tcW w:w="665" w:type="dxa"/>
            <w:shd w:val="clear" w:color="auto" w:fill="FFC000"/>
          </w:tcPr>
          <w:p w14:paraId="5B77A5FA" w14:textId="77777777" w:rsidR="00697413" w:rsidRDefault="00697413" w:rsidP="00697413"/>
        </w:tc>
        <w:tc>
          <w:tcPr>
            <w:tcW w:w="665" w:type="dxa"/>
            <w:shd w:val="clear" w:color="auto" w:fill="FFC000"/>
          </w:tcPr>
          <w:p w14:paraId="18275DD6" w14:textId="77777777" w:rsidR="00697413" w:rsidRDefault="00697413" w:rsidP="00697413"/>
        </w:tc>
        <w:tc>
          <w:tcPr>
            <w:tcW w:w="665" w:type="dxa"/>
            <w:shd w:val="clear" w:color="auto" w:fill="FFC000"/>
          </w:tcPr>
          <w:p w14:paraId="39479171" w14:textId="77777777" w:rsidR="00697413" w:rsidRDefault="00697413" w:rsidP="00697413"/>
        </w:tc>
        <w:tc>
          <w:tcPr>
            <w:tcW w:w="665" w:type="dxa"/>
            <w:shd w:val="clear" w:color="auto" w:fill="FFC000"/>
          </w:tcPr>
          <w:p w14:paraId="09A36675" w14:textId="77777777" w:rsidR="00697413" w:rsidRDefault="00697413" w:rsidP="00697413"/>
        </w:tc>
        <w:tc>
          <w:tcPr>
            <w:tcW w:w="664" w:type="dxa"/>
            <w:shd w:val="clear" w:color="auto" w:fill="FFC000"/>
          </w:tcPr>
          <w:p w14:paraId="5C9E5824" w14:textId="77777777" w:rsidR="00697413" w:rsidRDefault="00697413" w:rsidP="00697413"/>
        </w:tc>
        <w:tc>
          <w:tcPr>
            <w:tcW w:w="664" w:type="dxa"/>
            <w:shd w:val="clear" w:color="auto" w:fill="FFC000"/>
          </w:tcPr>
          <w:p w14:paraId="41A83B6A" w14:textId="77777777" w:rsidR="00697413" w:rsidRDefault="00697413" w:rsidP="00697413"/>
        </w:tc>
        <w:tc>
          <w:tcPr>
            <w:tcW w:w="664" w:type="dxa"/>
            <w:shd w:val="clear" w:color="auto" w:fill="FFC000"/>
          </w:tcPr>
          <w:p w14:paraId="6DFC1F48" w14:textId="77777777" w:rsidR="00697413" w:rsidRDefault="00697413" w:rsidP="00697413"/>
        </w:tc>
        <w:tc>
          <w:tcPr>
            <w:tcW w:w="664" w:type="dxa"/>
            <w:shd w:val="clear" w:color="auto" w:fill="FFC000"/>
          </w:tcPr>
          <w:p w14:paraId="7C48FBD2" w14:textId="77777777" w:rsidR="00697413" w:rsidRDefault="00697413" w:rsidP="00697413"/>
        </w:tc>
        <w:tc>
          <w:tcPr>
            <w:tcW w:w="664" w:type="dxa"/>
            <w:shd w:val="clear" w:color="auto" w:fill="FFC000"/>
          </w:tcPr>
          <w:p w14:paraId="16F1B26F" w14:textId="77777777" w:rsidR="00697413" w:rsidRDefault="00697413" w:rsidP="00697413"/>
        </w:tc>
        <w:tc>
          <w:tcPr>
            <w:tcW w:w="664" w:type="dxa"/>
            <w:shd w:val="clear" w:color="auto" w:fill="FFC000"/>
          </w:tcPr>
          <w:p w14:paraId="51570BA3" w14:textId="77777777" w:rsidR="00697413" w:rsidRDefault="00697413" w:rsidP="00697413"/>
        </w:tc>
        <w:tc>
          <w:tcPr>
            <w:tcW w:w="664" w:type="dxa"/>
            <w:shd w:val="clear" w:color="auto" w:fill="FFC000"/>
          </w:tcPr>
          <w:p w14:paraId="136658B7" w14:textId="77777777" w:rsidR="00697413" w:rsidRDefault="00697413" w:rsidP="00697413"/>
        </w:tc>
        <w:tc>
          <w:tcPr>
            <w:tcW w:w="664" w:type="dxa"/>
            <w:shd w:val="clear" w:color="auto" w:fill="FFC000"/>
          </w:tcPr>
          <w:p w14:paraId="5866188E" w14:textId="77777777" w:rsidR="00697413" w:rsidRDefault="00697413" w:rsidP="00697413"/>
        </w:tc>
        <w:tc>
          <w:tcPr>
            <w:tcW w:w="664" w:type="dxa"/>
            <w:shd w:val="clear" w:color="auto" w:fill="FFC000"/>
          </w:tcPr>
          <w:p w14:paraId="5FC8E2A4" w14:textId="77777777" w:rsidR="00697413" w:rsidRDefault="00697413" w:rsidP="00697413"/>
        </w:tc>
        <w:tc>
          <w:tcPr>
            <w:tcW w:w="664" w:type="dxa"/>
            <w:shd w:val="clear" w:color="auto" w:fill="FFC000"/>
          </w:tcPr>
          <w:p w14:paraId="38AB8C5D" w14:textId="77777777" w:rsidR="00697413" w:rsidRDefault="00697413" w:rsidP="00697413"/>
        </w:tc>
        <w:tc>
          <w:tcPr>
            <w:tcW w:w="664" w:type="dxa"/>
            <w:shd w:val="clear" w:color="auto" w:fill="FFC000"/>
          </w:tcPr>
          <w:p w14:paraId="28349D02" w14:textId="77777777" w:rsidR="00697413" w:rsidRDefault="00697413" w:rsidP="00697413"/>
        </w:tc>
        <w:tc>
          <w:tcPr>
            <w:tcW w:w="664" w:type="dxa"/>
            <w:shd w:val="clear" w:color="auto" w:fill="FFC000"/>
          </w:tcPr>
          <w:p w14:paraId="05782BAC" w14:textId="77777777" w:rsidR="00697413" w:rsidRDefault="00697413" w:rsidP="00697413"/>
        </w:tc>
      </w:tr>
      <w:tr w:rsidR="00697413" w14:paraId="0C5A4309" w14:textId="77777777" w:rsidTr="0046753A">
        <w:trPr>
          <w:trHeight w:val="20"/>
        </w:trPr>
        <w:tc>
          <w:tcPr>
            <w:tcW w:w="629" w:type="dxa"/>
            <w:shd w:val="clear" w:color="auto" w:fill="DBDBDB" w:themeFill="accent3" w:themeFillTint="66"/>
          </w:tcPr>
          <w:p w14:paraId="48317068" w14:textId="77777777" w:rsidR="00697413" w:rsidRDefault="00697413" w:rsidP="00697413">
            <w:r>
              <w:t>2.3</w:t>
            </w:r>
          </w:p>
        </w:tc>
        <w:tc>
          <w:tcPr>
            <w:tcW w:w="694" w:type="dxa"/>
          </w:tcPr>
          <w:p w14:paraId="2BB226F7" w14:textId="77777777" w:rsidR="00697413" w:rsidRDefault="00697413" w:rsidP="00697413"/>
        </w:tc>
        <w:tc>
          <w:tcPr>
            <w:tcW w:w="666" w:type="dxa"/>
            <w:shd w:val="clear" w:color="auto" w:fill="FFC000"/>
          </w:tcPr>
          <w:p w14:paraId="6C8D9BC2" w14:textId="77777777" w:rsidR="00697413" w:rsidRDefault="00697413" w:rsidP="00697413"/>
        </w:tc>
        <w:tc>
          <w:tcPr>
            <w:tcW w:w="666" w:type="dxa"/>
            <w:shd w:val="clear" w:color="auto" w:fill="FFC000"/>
          </w:tcPr>
          <w:p w14:paraId="0F9D4D00" w14:textId="77777777" w:rsidR="00697413" w:rsidRDefault="00697413" w:rsidP="00697413"/>
        </w:tc>
        <w:tc>
          <w:tcPr>
            <w:tcW w:w="665" w:type="dxa"/>
            <w:shd w:val="clear" w:color="auto" w:fill="FFFFFF" w:themeFill="background1"/>
          </w:tcPr>
          <w:p w14:paraId="209FC5A7" w14:textId="77777777" w:rsidR="00697413" w:rsidRDefault="00697413" w:rsidP="00697413"/>
        </w:tc>
        <w:tc>
          <w:tcPr>
            <w:tcW w:w="665" w:type="dxa"/>
          </w:tcPr>
          <w:p w14:paraId="2C6E6A8A" w14:textId="77777777" w:rsidR="00697413" w:rsidRDefault="00697413" w:rsidP="00697413"/>
        </w:tc>
        <w:tc>
          <w:tcPr>
            <w:tcW w:w="665" w:type="dxa"/>
          </w:tcPr>
          <w:p w14:paraId="22FA05EE" w14:textId="77777777" w:rsidR="00697413" w:rsidRDefault="00697413" w:rsidP="00697413"/>
        </w:tc>
        <w:tc>
          <w:tcPr>
            <w:tcW w:w="665" w:type="dxa"/>
          </w:tcPr>
          <w:p w14:paraId="6CC22E1C" w14:textId="77777777" w:rsidR="00697413" w:rsidRDefault="00697413" w:rsidP="00697413"/>
        </w:tc>
        <w:tc>
          <w:tcPr>
            <w:tcW w:w="665" w:type="dxa"/>
          </w:tcPr>
          <w:p w14:paraId="706FE048" w14:textId="77777777" w:rsidR="00697413" w:rsidRDefault="00697413" w:rsidP="00697413"/>
        </w:tc>
        <w:tc>
          <w:tcPr>
            <w:tcW w:w="664" w:type="dxa"/>
          </w:tcPr>
          <w:p w14:paraId="0EFC0A98" w14:textId="77777777" w:rsidR="00697413" w:rsidRDefault="00697413" w:rsidP="00697413"/>
        </w:tc>
        <w:tc>
          <w:tcPr>
            <w:tcW w:w="664" w:type="dxa"/>
          </w:tcPr>
          <w:p w14:paraId="762F1400" w14:textId="77777777" w:rsidR="00697413" w:rsidRDefault="00697413" w:rsidP="00697413"/>
        </w:tc>
        <w:tc>
          <w:tcPr>
            <w:tcW w:w="664" w:type="dxa"/>
          </w:tcPr>
          <w:p w14:paraId="071F3957" w14:textId="77777777" w:rsidR="00697413" w:rsidRDefault="00697413" w:rsidP="00697413"/>
        </w:tc>
        <w:tc>
          <w:tcPr>
            <w:tcW w:w="664" w:type="dxa"/>
          </w:tcPr>
          <w:p w14:paraId="53E78377" w14:textId="77777777" w:rsidR="00697413" w:rsidRDefault="00697413" w:rsidP="00697413"/>
        </w:tc>
        <w:tc>
          <w:tcPr>
            <w:tcW w:w="664" w:type="dxa"/>
          </w:tcPr>
          <w:p w14:paraId="73AB434B" w14:textId="77777777" w:rsidR="00697413" w:rsidRDefault="00697413" w:rsidP="00697413"/>
        </w:tc>
        <w:tc>
          <w:tcPr>
            <w:tcW w:w="664" w:type="dxa"/>
          </w:tcPr>
          <w:p w14:paraId="0C419700" w14:textId="77777777" w:rsidR="00697413" w:rsidRDefault="00697413" w:rsidP="00697413"/>
        </w:tc>
        <w:tc>
          <w:tcPr>
            <w:tcW w:w="664" w:type="dxa"/>
          </w:tcPr>
          <w:p w14:paraId="4B4A8D20" w14:textId="77777777" w:rsidR="00697413" w:rsidRDefault="00697413" w:rsidP="00697413"/>
        </w:tc>
        <w:tc>
          <w:tcPr>
            <w:tcW w:w="664" w:type="dxa"/>
          </w:tcPr>
          <w:p w14:paraId="0614F253" w14:textId="77777777" w:rsidR="00697413" w:rsidRDefault="00697413" w:rsidP="00697413"/>
        </w:tc>
        <w:tc>
          <w:tcPr>
            <w:tcW w:w="664" w:type="dxa"/>
          </w:tcPr>
          <w:p w14:paraId="6CA10AA1" w14:textId="77777777" w:rsidR="00697413" w:rsidRDefault="00697413" w:rsidP="00697413"/>
        </w:tc>
        <w:tc>
          <w:tcPr>
            <w:tcW w:w="664" w:type="dxa"/>
          </w:tcPr>
          <w:p w14:paraId="7921B054" w14:textId="77777777" w:rsidR="00697413" w:rsidRDefault="00697413" w:rsidP="00697413"/>
        </w:tc>
        <w:tc>
          <w:tcPr>
            <w:tcW w:w="664" w:type="dxa"/>
          </w:tcPr>
          <w:p w14:paraId="1C7691CF" w14:textId="77777777" w:rsidR="00697413" w:rsidRDefault="00697413" w:rsidP="00697413"/>
        </w:tc>
        <w:tc>
          <w:tcPr>
            <w:tcW w:w="664" w:type="dxa"/>
          </w:tcPr>
          <w:p w14:paraId="0BC47F74" w14:textId="77777777" w:rsidR="00697413" w:rsidRDefault="00697413" w:rsidP="00697413"/>
        </w:tc>
      </w:tr>
      <w:tr w:rsidR="00697413" w14:paraId="027EB94D" w14:textId="77777777" w:rsidTr="0046753A">
        <w:trPr>
          <w:trHeight w:val="20"/>
        </w:trPr>
        <w:tc>
          <w:tcPr>
            <w:tcW w:w="629" w:type="dxa"/>
            <w:shd w:val="clear" w:color="auto" w:fill="DBDBDB" w:themeFill="accent3" w:themeFillTint="66"/>
          </w:tcPr>
          <w:p w14:paraId="7DCA6517" w14:textId="77777777" w:rsidR="00697413" w:rsidRDefault="00697413" w:rsidP="00697413">
            <w:r>
              <w:t>2.4</w:t>
            </w:r>
          </w:p>
        </w:tc>
        <w:tc>
          <w:tcPr>
            <w:tcW w:w="694" w:type="dxa"/>
          </w:tcPr>
          <w:p w14:paraId="589525BB" w14:textId="77777777" w:rsidR="00697413" w:rsidRDefault="00697413" w:rsidP="00697413"/>
        </w:tc>
        <w:tc>
          <w:tcPr>
            <w:tcW w:w="666" w:type="dxa"/>
            <w:shd w:val="clear" w:color="auto" w:fill="FFC000"/>
          </w:tcPr>
          <w:p w14:paraId="6CD552DE" w14:textId="77777777" w:rsidR="00697413" w:rsidRDefault="00697413" w:rsidP="00697413"/>
        </w:tc>
        <w:tc>
          <w:tcPr>
            <w:tcW w:w="666" w:type="dxa"/>
            <w:shd w:val="clear" w:color="auto" w:fill="FFC000"/>
          </w:tcPr>
          <w:p w14:paraId="4ED909FB" w14:textId="77777777" w:rsidR="00697413" w:rsidRDefault="00697413" w:rsidP="00697413"/>
        </w:tc>
        <w:tc>
          <w:tcPr>
            <w:tcW w:w="665" w:type="dxa"/>
            <w:shd w:val="clear" w:color="auto" w:fill="FFC000"/>
          </w:tcPr>
          <w:p w14:paraId="7760BB6C" w14:textId="77777777" w:rsidR="00697413" w:rsidRDefault="00697413" w:rsidP="00697413"/>
        </w:tc>
        <w:tc>
          <w:tcPr>
            <w:tcW w:w="665" w:type="dxa"/>
            <w:shd w:val="clear" w:color="auto" w:fill="FFC000"/>
          </w:tcPr>
          <w:p w14:paraId="550304E3" w14:textId="77777777" w:rsidR="00697413" w:rsidRDefault="00697413" w:rsidP="00697413"/>
        </w:tc>
        <w:tc>
          <w:tcPr>
            <w:tcW w:w="665" w:type="dxa"/>
          </w:tcPr>
          <w:p w14:paraId="6FDF4C9B" w14:textId="77777777" w:rsidR="00697413" w:rsidRDefault="00697413" w:rsidP="00697413"/>
        </w:tc>
        <w:tc>
          <w:tcPr>
            <w:tcW w:w="665" w:type="dxa"/>
          </w:tcPr>
          <w:p w14:paraId="648AD5D6" w14:textId="77777777" w:rsidR="00697413" w:rsidRDefault="00697413" w:rsidP="00697413"/>
        </w:tc>
        <w:tc>
          <w:tcPr>
            <w:tcW w:w="665" w:type="dxa"/>
          </w:tcPr>
          <w:p w14:paraId="3D3A5293" w14:textId="77777777" w:rsidR="00697413" w:rsidRDefault="00697413" w:rsidP="00697413"/>
        </w:tc>
        <w:tc>
          <w:tcPr>
            <w:tcW w:w="664" w:type="dxa"/>
          </w:tcPr>
          <w:p w14:paraId="017EB775" w14:textId="77777777" w:rsidR="00697413" w:rsidRDefault="00697413" w:rsidP="00697413"/>
        </w:tc>
        <w:tc>
          <w:tcPr>
            <w:tcW w:w="664" w:type="dxa"/>
          </w:tcPr>
          <w:p w14:paraId="7550C61D" w14:textId="77777777" w:rsidR="00697413" w:rsidRDefault="00697413" w:rsidP="00697413"/>
        </w:tc>
        <w:tc>
          <w:tcPr>
            <w:tcW w:w="664" w:type="dxa"/>
          </w:tcPr>
          <w:p w14:paraId="36CD32BC" w14:textId="77777777" w:rsidR="00697413" w:rsidRDefault="00697413" w:rsidP="00697413"/>
        </w:tc>
        <w:tc>
          <w:tcPr>
            <w:tcW w:w="664" w:type="dxa"/>
          </w:tcPr>
          <w:p w14:paraId="79202066" w14:textId="77777777" w:rsidR="00697413" w:rsidRDefault="00697413" w:rsidP="00697413"/>
        </w:tc>
        <w:tc>
          <w:tcPr>
            <w:tcW w:w="664" w:type="dxa"/>
          </w:tcPr>
          <w:p w14:paraId="6087DB8B" w14:textId="77777777" w:rsidR="00697413" w:rsidRDefault="00697413" w:rsidP="00697413"/>
        </w:tc>
        <w:tc>
          <w:tcPr>
            <w:tcW w:w="664" w:type="dxa"/>
          </w:tcPr>
          <w:p w14:paraId="56FE5250" w14:textId="77777777" w:rsidR="00697413" w:rsidRDefault="00697413" w:rsidP="00697413"/>
        </w:tc>
        <w:tc>
          <w:tcPr>
            <w:tcW w:w="664" w:type="dxa"/>
          </w:tcPr>
          <w:p w14:paraId="75A8B9B3" w14:textId="77777777" w:rsidR="00697413" w:rsidRDefault="00697413" w:rsidP="00697413"/>
        </w:tc>
        <w:tc>
          <w:tcPr>
            <w:tcW w:w="664" w:type="dxa"/>
          </w:tcPr>
          <w:p w14:paraId="64E904C8" w14:textId="77777777" w:rsidR="00697413" w:rsidRDefault="00697413" w:rsidP="00697413"/>
        </w:tc>
        <w:tc>
          <w:tcPr>
            <w:tcW w:w="664" w:type="dxa"/>
          </w:tcPr>
          <w:p w14:paraId="5A695721" w14:textId="77777777" w:rsidR="00697413" w:rsidRDefault="00697413" w:rsidP="00697413"/>
        </w:tc>
        <w:tc>
          <w:tcPr>
            <w:tcW w:w="664" w:type="dxa"/>
          </w:tcPr>
          <w:p w14:paraId="16406B1A" w14:textId="77777777" w:rsidR="00697413" w:rsidRDefault="00697413" w:rsidP="00697413"/>
        </w:tc>
        <w:tc>
          <w:tcPr>
            <w:tcW w:w="664" w:type="dxa"/>
          </w:tcPr>
          <w:p w14:paraId="40597D51" w14:textId="77777777" w:rsidR="00697413" w:rsidRDefault="00697413" w:rsidP="00697413"/>
        </w:tc>
        <w:tc>
          <w:tcPr>
            <w:tcW w:w="664" w:type="dxa"/>
          </w:tcPr>
          <w:p w14:paraId="44296118" w14:textId="77777777" w:rsidR="00697413" w:rsidRDefault="00697413" w:rsidP="00697413"/>
        </w:tc>
      </w:tr>
      <w:tr w:rsidR="00697413" w14:paraId="7EFD99D8" w14:textId="77777777" w:rsidTr="0046753A">
        <w:trPr>
          <w:trHeight w:val="20"/>
        </w:trPr>
        <w:tc>
          <w:tcPr>
            <w:tcW w:w="629" w:type="dxa"/>
            <w:shd w:val="clear" w:color="auto" w:fill="DBDBDB" w:themeFill="accent3" w:themeFillTint="66"/>
          </w:tcPr>
          <w:p w14:paraId="529781CF" w14:textId="77777777" w:rsidR="00697413" w:rsidRDefault="00697413" w:rsidP="00697413">
            <w:r>
              <w:t>2.5</w:t>
            </w:r>
          </w:p>
        </w:tc>
        <w:tc>
          <w:tcPr>
            <w:tcW w:w="694" w:type="dxa"/>
          </w:tcPr>
          <w:p w14:paraId="195BBCF1" w14:textId="77777777" w:rsidR="00697413" w:rsidRDefault="00697413" w:rsidP="00697413"/>
        </w:tc>
        <w:tc>
          <w:tcPr>
            <w:tcW w:w="666" w:type="dxa"/>
          </w:tcPr>
          <w:p w14:paraId="6F6C32C1" w14:textId="77777777" w:rsidR="00697413" w:rsidRDefault="00697413" w:rsidP="00697413"/>
        </w:tc>
        <w:tc>
          <w:tcPr>
            <w:tcW w:w="666" w:type="dxa"/>
          </w:tcPr>
          <w:p w14:paraId="24E401B6" w14:textId="77777777" w:rsidR="00697413" w:rsidRDefault="00697413" w:rsidP="00697413"/>
        </w:tc>
        <w:tc>
          <w:tcPr>
            <w:tcW w:w="665" w:type="dxa"/>
          </w:tcPr>
          <w:p w14:paraId="5A2276A9" w14:textId="77777777" w:rsidR="00697413" w:rsidRDefault="00697413" w:rsidP="00697413"/>
        </w:tc>
        <w:tc>
          <w:tcPr>
            <w:tcW w:w="665" w:type="dxa"/>
          </w:tcPr>
          <w:p w14:paraId="772F1F89" w14:textId="77777777" w:rsidR="00697413" w:rsidRDefault="00697413" w:rsidP="00697413"/>
        </w:tc>
        <w:tc>
          <w:tcPr>
            <w:tcW w:w="665" w:type="dxa"/>
            <w:shd w:val="clear" w:color="auto" w:fill="FFC000"/>
          </w:tcPr>
          <w:p w14:paraId="65D9CB6B" w14:textId="77777777" w:rsidR="00697413" w:rsidRDefault="00697413" w:rsidP="00697413"/>
        </w:tc>
        <w:tc>
          <w:tcPr>
            <w:tcW w:w="665" w:type="dxa"/>
            <w:shd w:val="clear" w:color="auto" w:fill="FFC000"/>
          </w:tcPr>
          <w:p w14:paraId="6F5DC36D" w14:textId="77777777" w:rsidR="00697413" w:rsidRDefault="00697413" w:rsidP="00697413"/>
        </w:tc>
        <w:tc>
          <w:tcPr>
            <w:tcW w:w="665" w:type="dxa"/>
            <w:shd w:val="clear" w:color="auto" w:fill="FFC000"/>
          </w:tcPr>
          <w:p w14:paraId="7B1F1A97" w14:textId="77777777" w:rsidR="00697413" w:rsidRDefault="00697413" w:rsidP="00697413"/>
        </w:tc>
        <w:tc>
          <w:tcPr>
            <w:tcW w:w="664" w:type="dxa"/>
            <w:shd w:val="clear" w:color="auto" w:fill="FFC000"/>
          </w:tcPr>
          <w:p w14:paraId="734C0591" w14:textId="77777777" w:rsidR="00697413" w:rsidRDefault="00697413" w:rsidP="00697413"/>
        </w:tc>
        <w:tc>
          <w:tcPr>
            <w:tcW w:w="664" w:type="dxa"/>
            <w:shd w:val="clear" w:color="auto" w:fill="FFC000"/>
          </w:tcPr>
          <w:p w14:paraId="467E8F79" w14:textId="77777777" w:rsidR="00697413" w:rsidRDefault="00697413" w:rsidP="00697413"/>
        </w:tc>
        <w:tc>
          <w:tcPr>
            <w:tcW w:w="664" w:type="dxa"/>
            <w:shd w:val="clear" w:color="auto" w:fill="FFC000"/>
          </w:tcPr>
          <w:p w14:paraId="00530248" w14:textId="77777777" w:rsidR="00697413" w:rsidRDefault="00697413" w:rsidP="00697413"/>
        </w:tc>
        <w:tc>
          <w:tcPr>
            <w:tcW w:w="664" w:type="dxa"/>
            <w:shd w:val="clear" w:color="auto" w:fill="FFC000"/>
          </w:tcPr>
          <w:p w14:paraId="0B8B3829" w14:textId="77777777" w:rsidR="00697413" w:rsidRDefault="00697413" w:rsidP="00697413"/>
        </w:tc>
        <w:tc>
          <w:tcPr>
            <w:tcW w:w="664" w:type="dxa"/>
            <w:shd w:val="clear" w:color="auto" w:fill="FFC000"/>
          </w:tcPr>
          <w:p w14:paraId="76F6329E" w14:textId="77777777" w:rsidR="00697413" w:rsidRDefault="00697413" w:rsidP="00697413"/>
        </w:tc>
        <w:tc>
          <w:tcPr>
            <w:tcW w:w="664" w:type="dxa"/>
            <w:shd w:val="clear" w:color="auto" w:fill="FFC000"/>
          </w:tcPr>
          <w:p w14:paraId="5E00C8AE" w14:textId="77777777" w:rsidR="00697413" w:rsidRDefault="00697413" w:rsidP="00697413"/>
        </w:tc>
        <w:tc>
          <w:tcPr>
            <w:tcW w:w="664" w:type="dxa"/>
            <w:shd w:val="clear" w:color="auto" w:fill="FFC000"/>
          </w:tcPr>
          <w:p w14:paraId="5F1F9E7D" w14:textId="77777777" w:rsidR="00697413" w:rsidRDefault="00697413" w:rsidP="00697413"/>
        </w:tc>
        <w:tc>
          <w:tcPr>
            <w:tcW w:w="664" w:type="dxa"/>
            <w:shd w:val="clear" w:color="auto" w:fill="FFC000"/>
          </w:tcPr>
          <w:p w14:paraId="5B101519" w14:textId="77777777" w:rsidR="00697413" w:rsidRDefault="00697413" w:rsidP="00697413"/>
        </w:tc>
        <w:tc>
          <w:tcPr>
            <w:tcW w:w="664" w:type="dxa"/>
            <w:shd w:val="clear" w:color="auto" w:fill="FFC000"/>
          </w:tcPr>
          <w:p w14:paraId="13064B4F" w14:textId="77777777" w:rsidR="00697413" w:rsidRDefault="00697413" w:rsidP="00697413"/>
        </w:tc>
        <w:tc>
          <w:tcPr>
            <w:tcW w:w="664" w:type="dxa"/>
            <w:shd w:val="clear" w:color="auto" w:fill="FFC000"/>
          </w:tcPr>
          <w:p w14:paraId="7383C666" w14:textId="77777777" w:rsidR="00697413" w:rsidRDefault="00697413" w:rsidP="00697413"/>
        </w:tc>
        <w:tc>
          <w:tcPr>
            <w:tcW w:w="664" w:type="dxa"/>
            <w:shd w:val="clear" w:color="auto" w:fill="FFC000"/>
          </w:tcPr>
          <w:p w14:paraId="215F39CF" w14:textId="77777777" w:rsidR="00697413" w:rsidRDefault="00697413" w:rsidP="00697413"/>
        </w:tc>
        <w:tc>
          <w:tcPr>
            <w:tcW w:w="664" w:type="dxa"/>
            <w:shd w:val="clear" w:color="auto" w:fill="FFC000"/>
          </w:tcPr>
          <w:p w14:paraId="5D396C53" w14:textId="77777777" w:rsidR="00697413" w:rsidRDefault="00697413" w:rsidP="00697413"/>
        </w:tc>
      </w:tr>
      <w:tr w:rsidR="00EF2C75" w:rsidRPr="0046753A" w14:paraId="4C34E467" w14:textId="77777777" w:rsidTr="0046753A">
        <w:trPr>
          <w:trHeight w:val="20"/>
        </w:trPr>
        <w:tc>
          <w:tcPr>
            <w:tcW w:w="13948" w:type="dxa"/>
            <w:gridSpan w:val="21"/>
            <w:shd w:val="clear" w:color="auto" w:fill="DBDBDB" w:themeFill="accent3" w:themeFillTint="66"/>
          </w:tcPr>
          <w:p w14:paraId="6203F0AC"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 xml:space="preserve">Objective  3.0 </w:t>
            </w:r>
            <w:r w:rsidR="00F52E94" w:rsidRPr="00F52E94">
              <w:rPr>
                <w:rFonts w:ascii="Source Sans Pro" w:eastAsia="Source Sans Pro Semibold" w:hAnsi="Source Sans Pro" w:cs="Times New Roman"/>
                <w:b/>
                <w:color w:val="962D91"/>
                <w:sz w:val="24"/>
                <w:szCs w:val="24"/>
              </w:rPr>
              <w:t>Support consumer involvement throughout the entire review production and evidence dissemination process</w:t>
            </w:r>
          </w:p>
        </w:tc>
      </w:tr>
      <w:tr w:rsidR="00697413" w14:paraId="4F638273" w14:textId="77777777" w:rsidTr="0046753A">
        <w:trPr>
          <w:trHeight w:val="20"/>
        </w:trPr>
        <w:tc>
          <w:tcPr>
            <w:tcW w:w="629" w:type="dxa"/>
            <w:shd w:val="clear" w:color="auto" w:fill="DBDBDB" w:themeFill="accent3" w:themeFillTint="66"/>
          </w:tcPr>
          <w:p w14:paraId="242B2F2B" w14:textId="77777777" w:rsidR="00697413" w:rsidRDefault="00697413" w:rsidP="00697413">
            <w:r>
              <w:t>3.1</w:t>
            </w:r>
          </w:p>
        </w:tc>
        <w:tc>
          <w:tcPr>
            <w:tcW w:w="694" w:type="dxa"/>
            <w:shd w:val="clear" w:color="auto" w:fill="FFC000"/>
          </w:tcPr>
          <w:p w14:paraId="27BD3FBE" w14:textId="77777777" w:rsidR="00697413" w:rsidRDefault="00697413" w:rsidP="00697413"/>
        </w:tc>
        <w:tc>
          <w:tcPr>
            <w:tcW w:w="666" w:type="dxa"/>
            <w:shd w:val="clear" w:color="auto" w:fill="FFC000"/>
          </w:tcPr>
          <w:p w14:paraId="22431B91" w14:textId="77777777" w:rsidR="00697413" w:rsidRDefault="00697413" w:rsidP="00697413"/>
        </w:tc>
        <w:tc>
          <w:tcPr>
            <w:tcW w:w="666" w:type="dxa"/>
            <w:shd w:val="clear" w:color="auto" w:fill="FFC000"/>
          </w:tcPr>
          <w:p w14:paraId="03853E5B" w14:textId="77777777" w:rsidR="00697413" w:rsidRDefault="00697413" w:rsidP="00697413"/>
        </w:tc>
        <w:tc>
          <w:tcPr>
            <w:tcW w:w="665" w:type="dxa"/>
            <w:shd w:val="clear" w:color="auto" w:fill="FFC000"/>
          </w:tcPr>
          <w:p w14:paraId="29B5D0C6" w14:textId="77777777" w:rsidR="00697413" w:rsidRDefault="00697413" w:rsidP="00697413"/>
        </w:tc>
        <w:tc>
          <w:tcPr>
            <w:tcW w:w="665" w:type="dxa"/>
            <w:shd w:val="clear" w:color="auto" w:fill="FFC000"/>
          </w:tcPr>
          <w:p w14:paraId="3F16F9BF" w14:textId="77777777" w:rsidR="00697413" w:rsidRDefault="00697413" w:rsidP="00697413"/>
        </w:tc>
        <w:tc>
          <w:tcPr>
            <w:tcW w:w="665" w:type="dxa"/>
            <w:shd w:val="clear" w:color="auto" w:fill="FFC000"/>
          </w:tcPr>
          <w:p w14:paraId="6F77E89B" w14:textId="77777777" w:rsidR="00697413" w:rsidRDefault="00697413" w:rsidP="00697413"/>
        </w:tc>
        <w:tc>
          <w:tcPr>
            <w:tcW w:w="665" w:type="dxa"/>
            <w:shd w:val="clear" w:color="auto" w:fill="FFC000"/>
          </w:tcPr>
          <w:p w14:paraId="66236271" w14:textId="77777777" w:rsidR="00697413" w:rsidRDefault="00697413" w:rsidP="00697413"/>
        </w:tc>
        <w:tc>
          <w:tcPr>
            <w:tcW w:w="665" w:type="dxa"/>
            <w:shd w:val="clear" w:color="auto" w:fill="FFC000"/>
          </w:tcPr>
          <w:p w14:paraId="768464AF" w14:textId="77777777" w:rsidR="00697413" w:rsidRDefault="00697413" w:rsidP="00697413"/>
        </w:tc>
        <w:tc>
          <w:tcPr>
            <w:tcW w:w="664" w:type="dxa"/>
            <w:shd w:val="clear" w:color="auto" w:fill="FFC000"/>
          </w:tcPr>
          <w:p w14:paraId="50179365" w14:textId="77777777" w:rsidR="00697413" w:rsidRDefault="00697413" w:rsidP="00697413"/>
        </w:tc>
        <w:tc>
          <w:tcPr>
            <w:tcW w:w="664" w:type="dxa"/>
            <w:shd w:val="clear" w:color="auto" w:fill="FFC000"/>
          </w:tcPr>
          <w:p w14:paraId="337E736B" w14:textId="77777777" w:rsidR="00697413" w:rsidRDefault="00697413" w:rsidP="00697413"/>
        </w:tc>
        <w:tc>
          <w:tcPr>
            <w:tcW w:w="664" w:type="dxa"/>
            <w:shd w:val="clear" w:color="auto" w:fill="FFC000"/>
          </w:tcPr>
          <w:p w14:paraId="151E8EAA" w14:textId="77777777" w:rsidR="00697413" w:rsidRDefault="00697413" w:rsidP="00697413"/>
        </w:tc>
        <w:tc>
          <w:tcPr>
            <w:tcW w:w="664" w:type="dxa"/>
            <w:shd w:val="clear" w:color="auto" w:fill="FFC000"/>
          </w:tcPr>
          <w:p w14:paraId="5053CB7A" w14:textId="77777777" w:rsidR="00697413" w:rsidRDefault="00697413" w:rsidP="00697413"/>
        </w:tc>
        <w:tc>
          <w:tcPr>
            <w:tcW w:w="664" w:type="dxa"/>
            <w:shd w:val="clear" w:color="auto" w:fill="FFC000"/>
          </w:tcPr>
          <w:p w14:paraId="39B1D83E" w14:textId="77777777" w:rsidR="00697413" w:rsidRDefault="00697413" w:rsidP="00697413"/>
        </w:tc>
        <w:tc>
          <w:tcPr>
            <w:tcW w:w="664" w:type="dxa"/>
            <w:shd w:val="clear" w:color="auto" w:fill="FFC000"/>
          </w:tcPr>
          <w:p w14:paraId="76C1A2F4" w14:textId="77777777" w:rsidR="00697413" w:rsidRDefault="00697413" w:rsidP="00697413"/>
        </w:tc>
        <w:tc>
          <w:tcPr>
            <w:tcW w:w="664" w:type="dxa"/>
            <w:shd w:val="clear" w:color="auto" w:fill="FFC000"/>
          </w:tcPr>
          <w:p w14:paraId="7D956213" w14:textId="77777777" w:rsidR="00697413" w:rsidRDefault="00697413" w:rsidP="00697413"/>
        </w:tc>
        <w:tc>
          <w:tcPr>
            <w:tcW w:w="664" w:type="dxa"/>
            <w:shd w:val="clear" w:color="auto" w:fill="FFC000"/>
          </w:tcPr>
          <w:p w14:paraId="66E0616B" w14:textId="77777777" w:rsidR="00697413" w:rsidRDefault="00697413" w:rsidP="00697413"/>
        </w:tc>
        <w:tc>
          <w:tcPr>
            <w:tcW w:w="664" w:type="dxa"/>
            <w:shd w:val="clear" w:color="auto" w:fill="FFC000"/>
          </w:tcPr>
          <w:p w14:paraId="49064313" w14:textId="77777777" w:rsidR="00697413" w:rsidRDefault="00697413" w:rsidP="00697413"/>
        </w:tc>
        <w:tc>
          <w:tcPr>
            <w:tcW w:w="664" w:type="dxa"/>
            <w:shd w:val="clear" w:color="auto" w:fill="FFC000"/>
          </w:tcPr>
          <w:p w14:paraId="10481DC0" w14:textId="77777777" w:rsidR="00697413" w:rsidRDefault="00697413" w:rsidP="00697413"/>
        </w:tc>
        <w:tc>
          <w:tcPr>
            <w:tcW w:w="664" w:type="dxa"/>
            <w:shd w:val="clear" w:color="auto" w:fill="FFC000"/>
          </w:tcPr>
          <w:p w14:paraId="39AA0D2A" w14:textId="77777777" w:rsidR="00697413" w:rsidRDefault="00697413" w:rsidP="00697413"/>
        </w:tc>
        <w:tc>
          <w:tcPr>
            <w:tcW w:w="664" w:type="dxa"/>
            <w:shd w:val="clear" w:color="auto" w:fill="FFC000"/>
          </w:tcPr>
          <w:p w14:paraId="4BC7E9DC" w14:textId="77777777" w:rsidR="00697413" w:rsidRDefault="00697413" w:rsidP="00697413"/>
        </w:tc>
      </w:tr>
      <w:tr w:rsidR="00697413" w14:paraId="252334F2" w14:textId="77777777" w:rsidTr="0046753A">
        <w:trPr>
          <w:trHeight w:val="20"/>
        </w:trPr>
        <w:tc>
          <w:tcPr>
            <w:tcW w:w="629" w:type="dxa"/>
            <w:shd w:val="clear" w:color="auto" w:fill="DBDBDB" w:themeFill="accent3" w:themeFillTint="66"/>
          </w:tcPr>
          <w:p w14:paraId="37905456" w14:textId="77777777" w:rsidR="00697413" w:rsidRDefault="00697413" w:rsidP="00697413">
            <w:r>
              <w:t>3.2</w:t>
            </w:r>
          </w:p>
        </w:tc>
        <w:tc>
          <w:tcPr>
            <w:tcW w:w="694" w:type="dxa"/>
          </w:tcPr>
          <w:p w14:paraId="370049EC" w14:textId="77777777" w:rsidR="00697413" w:rsidRDefault="00697413" w:rsidP="00697413"/>
        </w:tc>
        <w:tc>
          <w:tcPr>
            <w:tcW w:w="666" w:type="dxa"/>
          </w:tcPr>
          <w:p w14:paraId="2120C50B" w14:textId="77777777" w:rsidR="00697413" w:rsidRDefault="00697413" w:rsidP="00697413"/>
        </w:tc>
        <w:tc>
          <w:tcPr>
            <w:tcW w:w="666" w:type="dxa"/>
          </w:tcPr>
          <w:p w14:paraId="0133F677" w14:textId="77777777" w:rsidR="00697413" w:rsidRDefault="00697413" w:rsidP="00697413"/>
        </w:tc>
        <w:tc>
          <w:tcPr>
            <w:tcW w:w="665" w:type="dxa"/>
          </w:tcPr>
          <w:p w14:paraId="4182E0F0" w14:textId="77777777" w:rsidR="00697413" w:rsidRDefault="00697413" w:rsidP="00697413"/>
        </w:tc>
        <w:tc>
          <w:tcPr>
            <w:tcW w:w="665" w:type="dxa"/>
          </w:tcPr>
          <w:p w14:paraId="54FC2962" w14:textId="77777777" w:rsidR="00697413" w:rsidRDefault="00697413" w:rsidP="00697413"/>
        </w:tc>
        <w:tc>
          <w:tcPr>
            <w:tcW w:w="665" w:type="dxa"/>
            <w:shd w:val="clear" w:color="auto" w:fill="FFC000"/>
          </w:tcPr>
          <w:p w14:paraId="68CC83DE" w14:textId="77777777" w:rsidR="00697413" w:rsidRDefault="00697413" w:rsidP="00697413"/>
        </w:tc>
        <w:tc>
          <w:tcPr>
            <w:tcW w:w="665" w:type="dxa"/>
            <w:shd w:val="clear" w:color="auto" w:fill="FFC000"/>
          </w:tcPr>
          <w:p w14:paraId="08EBD1BD" w14:textId="77777777" w:rsidR="00697413" w:rsidRDefault="00697413" w:rsidP="00697413"/>
        </w:tc>
        <w:tc>
          <w:tcPr>
            <w:tcW w:w="665" w:type="dxa"/>
            <w:shd w:val="clear" w:color="auto" w:fill="FFC000"/>
          </w:tcPr>
          <w:p w14:paraId="59D9FD53" w14:textId="77777777" w:rsidR="00697413" w:rsidRDefault="00697413" w:rsidP="00697413"/>
        </w:tc>
        <w:tc>
          <w:tcPr>
            <w:tcW w:w="664" w:type="dxa"/>
          </w:tcPr>
          <w:p w14:paraId="1AD845CD" w14:textId="77777777" w:rsidR="00697413" w:rsidRDefault="00697413" w:rsidP="00697413"/>
        </w:tc>
        <w:tc>
          <w:tcPr>
            <w:tcW w:w="664" w:type="dxa"/>
          </w:tcPr>
          <w:p w14:paraId="75FA8B7B" w14:textId="77777777" w:rsidR="00697413" w:rsidRDefault="00697413" w:rsidP="00697413"/>
        </w:tc>
        <w:tc>
          <w:tcPr>
            <w:tcW w:w="664" w:type="dxa"/>
          </w:tcPr>
          <w:p w14:paraId="27C5EEDD" w14:textId="77777777" w:rsidR="00697413" w:rsidRDefault="00697413" w:rsidP="00697413"/>
        </w:tc>
        <w:tc>
          <w:tcPr>
            <w:tcW w:w="664" w:type="dxa"/>
          </w:tcPr>
          <w:p w14:paraId="6F694D74" w14:textId="77777777" w:rsidR="00697413" w:rsidRDefault="00697413" w:rsidP="00697413"/>
        </w:tc>
        <w:tc>
          <w:tcPr>
            <w:tcW w:w="664" w:type="dxa"/>
          </w:tcPr>
          <w:p w14:paraId="35CD4BAF" w14:textId="77777777" w:rsidR="00697413" w:rsidRDefault="00697413" w:rsidP="00697413"/>
        </w:tc>
        <w:tc>
          <w:tcPr>
            <w:tcW w:w="664" w:type="dxa"/>
          </w:tcPr>
          <w:p w14:paraId="1FDD4BD2" w14:textId="77777777" w:rsidR="00697413" w:rsidRDefault="00697413" w:rsidP="00697413"/>
        </w:tc>
        <w:tc>
          <w:tcPr>
            <w:tcW w:w="664" w:type="dxa"/>
          </w:tcPr>
          <w:p w14:paraId="07B28990" w14:textId="77777777" w:rsidR="00697413" w:rsidRDefault="00697413" w:rsidP="00697413"/>
        </w:tc>
        <w:tc>
          <w:tcPr>
            <w:tcW w:w="664" w:type="dxa"/>
          </w:tcPr>
          <w:p w14:paraId="67541DB8" w14:textId="77777777" w:rsidR="00697413" w:rsidRDefault="00697413" w:rsidP="00697413"/>
        </w:tc>
        <w:tc>
          <w:tcPr>
            <w:tcW w:w="664" w:type="dxa"/>
          </w:tcPr>
          <w:p w14:paraId="210515D4" w14:textId="77777777" w:rsidR="00697413" w:rsidRDefault="00697413" w:rsidP="00697413"/>
        </w:tc>
        <w:tc>
          <w:tcPr>
            <w:tcW w:w="664" w:type="dxa"/>
          </w:tcPr>
          <w:p w14:paraId="5B2334C4" w14:textId="77777777" w:rsidR="00697413" w:rsidRDefault="00697413" w:rsidP="00697413"/>
        </w:tc>
        <w:tc>
          <w:tcPr>
            <w:tcW w:w="664" w:type="dxa"/>
          </w:tcPr>
          <w:p w14:paraId="70AC195E" w14:textId="77777777" w:rsidR="00697413" w:rsidRDefault="00697413" w:rsidP="00697413"/>
        </w:tc>
        <w:tc>
          <w:tcPr>
            <w:tcW w:w="664" w:type="dxa"/>
          </w:tcPr>
          <w:p w14:paraId="15562702" w14:textId="77777777" w:rsidR="00697413" w:rsidRDefault="00697413" w:rsidP="00697413"/>
        </w:tc>
      </w:tr>
      <w:tr w:rsidR="00697413" w14:paraId="6BC57C93" w14:textId="77777777" w:rsidTr="0046753A">
        <w:trPr>
          <w:trHeight w:val="20"/>
        </w:trPr>
        <w:tc>
          <w:tcPr>
            <w:tcW w:w="629" w:type="dxa"/>
            <w:shd w:val="clear" w:color="auto" w:fill="DBDBDB" w:themeFill="accent3" w:themeFillTint="66"/>
          </w:tcPr>
          <w:p w14:paraId="52B2EAC0" w14:textId="77777777" w:rsidR="00697413" w:rsidRDefault="00697413" w:rsidP="00697413">
            <w:r>
              <w:t>3.3</w:t>
            </w:r>
          </w:p>
        </w:tc>
        <w:tc>
          <w:tcPr>
            <w:tcW w:w="694" w:type="dxa"/>
          </w:tcPr>
          <w:p w14:paraId="34E4A27D" w14:textId="77777777" w:rsidR="00697413" w:rsidRDefault="00697413" w:rsidP="00697413"/>
        </w:tc>
        <w:tc>
          <w:tcPr>
            <w:tcW w:w="666" w:type="dxa"/>
            <w:shd w:val="clear" w:color="auto" w:fill="FFC000"/>
          </w:tcPr>
          <w:p w14:paraId="423A6DFA" w14:textId="77777777" w:rsidR="00697413" w:rsidRDefault="00697413" w:rsidP="00697413"/>
        </w:tc>
        <w:tc>
          <w:tcPr>
            <w:tcW w:w="666" w:type="dxa"/>
          </w:tcPr>
          <w:p w14:paraId="5699DE1F" w14:textId="77777777" w:rsidR="00697413" w:rsidRDefault="00697413" w:rsidP="00697413"/>
        </w:tc>
        <w:tc>
          <w:tcPr>
            <w:tcW w:w="665" w:type="dxa"/>
          </w:tcPr>
          <w:p w14:paraId="67EB1DFB" w14:textId="77777777" w:rsidR="00697413" w:rsidRDefault="00697413" w:rsidP="00697413"/>
        </w:tc>
        <w:tc>
          <w:tcPr>
            <w:tcW w:w="665" w:type="dxa"/>
          </w:tcPr>
          <w:p w14:paraId="41EA1467" w14:textId="77777777" w:rsidR="00697413" w:rsidRDefault="00697413" w:rsidP="00697413"/>
        </w:tc>
        <w:tc>
          <w:tcPr>
            <w:tcW w:w="665" w:type="dxa"/>
            <w:shd w:val="clear" w:color="auto" w:fill="FFC000"/>
          </w:tcPr>
          <w:p w14:paraId="4C1D94AD" w14:textId="77777777" w:rsidR="00697413" w:rsidRDefault="00697413" w:rsidP="00697413"/>
        </w:tc>
        <w:tc>
          <w:tcPr>
            <w:tcW w:w="665" w:type="dxa"/>
            <w:shd w:val="clear" w:color="auto" w:fill="FFC000"/>
          </w:tcPr>
          <w:p w14:paraId="25DD81D9" w14:textId="77777777" w:rsidR="00697413" w:rsidRDefault="00697413" w:rsidP="00697413"/>
        </w:tc>
        <w:tc>
          <w:tcPr>
            <w:tcW w:w="665" w:type="dxa"/>
          </w:tcPr>
          <w:p w14:paraId="3DCB22DF" w14:textId="77777777" w:rsidR="00697413" w:rsidRDefault="00697413" w:rsidP="00697413"/>
        </w:tc>
        <w:tc>
          <w:tcPr>
            <w:tcW w:w="664" w:type="dxa"/>
            <w:shd w:val="clear" w:color="auto" w:fill="FFC000"/>
          </w:tcPr>
          <w:p w14:paraId="350591F7" w14:textId="77777777" w:rsidR="00697413" w:rsidRDefault="00697413" w:rsidP="00697413"/>
        </w:tc>
        <w:tc>
          <w:tcPr>
            <w:tcW w:w="664" w:type="dxa"/>
            <w:shd w:val="clear" w:color="auto" w:fill="FFC000"/>
          </w:tcPr>
          <w:p w14:paraId="31BD791D" w14:textId="77777777" w:rsidR="00697413" w:rsidRDefault="00697413" w:rsidP="00697413"/>
        </w:tc>
        <w:tc>
          <w:tcPr>
            <w:tcW w:w="664" w:type="dxa"/>
            <w:shd w:val="clear" w:color="auto" w:fill="FFC000"/>
          </w:tcPr>
          <w:p w14:paraId="4CDC12D8" w14:textId="77777777" w:rsidR="00697413" w:rsidRDefault="00697413" w:rsidP="00697413"/>
        </w:tc>
        <w:tc>
          <w:tcPr>
            <w:tcW w:w="664" w:type="dxa"/>
            <w:shd w:val="clear" w:color="auto" w:fill="FFC000"/>
          </w:tcPr>
          <w:p w14:paraId="31CBC2FC" w14:textId="77777777" w:rsidR="00697413" w:rsidRDefault="00697413" w:rsidP="00697413"/>
        </w:tc>
        <w:tc>
          <w:tcPr>
            <w:tcW w:w="664" w:type="dxa"/>
            <w:shd w:val="clear" w:color="auto" w:fill="FFC000"/>
          </w:tcPr>
          <w:p w14:paraId="71040134" w14:textId="77777777" w:rsidR="00697413" w:rsidRDefault="00697413" w:rsidP="00697413"/>
        </w:tc>
        <w:tc>
          <w:tcPr>
            <w:tcW w:w="664" w:type="dxa"/>
            <w:shd w:val="clear" w:color="auto" w:fill="FFC000"/>
          </w:tcPr>
          <w:p w14:paraId="41AF28EB" w14:textId="77777777" w:rsidR="00697413" w:rsidRDefault="00697413" w:rsidP="00697413"/>
        </w:tc>
        <w:tc>
          <w:tcPr>
            <w:tcW w:w="664" w:type="dxa"/>
            <w:shd w:val="clear" w:color="auto" w:fill="FFC000"/>
          </w:tcPr>
          <w:p w14:paraId="77C1911D" w14:textId="77777777" w:rsidR="00697413" w:rsidRDefault="00697413" w:rsidP="00697413"/>
        </w:tc>
        <w:tc>
          <w:tcPr>
            <w:tcW w:w="664" w:type="dxa"/>
            <w:shd w:val="clear" w:color="auto" w:fill="FFC000"/>
          </w:tcPr>
          <w:p w14:paraId="57E90C41" w14:textId="77777777" w:rsidR="00697413" w:rsidRDefault="00697413" w:rsidP="00697413"/>
        </w:tc>
        <w:tc>
          <w:tcPr>
            <w:tcW w:w="664" w:type="dxa"/>
            <w:shd w:val="clear" w:color="auto" w:fill="FFC000"/>
          </w:tcPr>
          <w:p w14:paraId="22880A3C" w14:textId="77777777" w:rsidR="00697413" w:rsidRDefault="00697413" w:rsidP="00697413"/>
        </w:tc>
        <w:tc>
          <w:tcPr>
            <w:tcW w:w="664" w:type="dxa"/>
            <w:shd w:val="clear" w:color="auto" w:fill="FFC000"/>
          </w:tcPr>
          <w:p w14:paraId="57FD537F" w14:textId="77777777" w:rsidR="00697413" w:rsidRDefault="00697413" w:rsidP="00697413"/>
        </w:tc>
        <w:tc>
          <w:tcPr>
            <w:tcW w:w="664" w:type="dxa"/>
            <w:shd w:val="clear" w:color="auto" w:fill="FFC000"/>
          </w:tcPr>
          <w:p w14:paraId="2C7915B7" w14:textId="77777777" w:rsidR="00697413" w:rsidRDefault="00697413" w:rsidP="00697413"/>
        </w:tc>
        <w:tc>
          <w:tcPr>
            <w:tcW w:w="664" w:type="dxa"/>
            <w:shd w:val="clear" w:color="auto" w:fill="FFC000"/>
          </w:tcPr>
          <w:p w14:paraId="3C42DA82" w14:textId="77777777" w:rsidR="00697413" w:rsidRDefault="00697413" w:rsidP="00697413"/>
        </w:tc>
      </w:tr>
      <w:tr w:rsidR="00697413" w14:paraId="5F9F5106" w14:textId="77777777" w:rsidTr="0046753A">
        <w:trPr>
          <w:trHeight w:val="20"/>
        </w:trPr>
        <w:tc>
          <w:tcPr>
            <w:tcW w:w="629" w:type="dxa"/>
            <w:shd w:val="clear" w:color="auto" w:fill="DBDBDB" w:themeFill="accent3" w:themeFillTint="66"/>
          </w:tcPr>
          <w:p w14:paraId="1248FAF5" w14:textId="77777777" w:rsidR="00697413" w:rsidRDefault="00697413" w:rsidP="00697413">
            <w:r>
              <w:t>3.4</w:t>
            </w:r>
          </w:p>
        </w:tc>
        <w:tc>
          <w:tcPr>
            <w:tcW w:w="694" w:type="dxa"/>
          </w:tcPr>
          <w:p w14:paraId="14D03DAE" w14:textId="77777777" w:rsidR="00697413" w:rsidRDefault="00697413" w:rsidP="00697413"/>
        </w:tc>
        <w:tc>
          <w:tcPr>
            <w:tcW w:w="666" w:type="dxa"/>
          </w:tcPr>
          <w:p w14:paraId="13DB0A4A" w14:textId="77777777" w:rsidR="00697413" w:rsidRDefault="00697413" w:rsidP="00697413"/>
        </w:tc>
        <w:tc>
          <w:tcPr>
            <w:tcW w:w="666" w:type="dxa"/>
            <w:shd w:val="clear" w:color="auto" w:fill="FFC000"/>
          </w:tcPr>
          <w:p w14:paraId="552676B3" w14:textId="77777777" w:rsidR="00697413" w:rsidRDefault="00697413" w:rsidP="00697413"/>
        </w:tc>
        <w:tc>
          <w:tcPr>
            <w:tcW w:w="665" w:type="dxa"/>
            <w:shd w:val="clear" w:color="auto" w:fill="FFC000"/>
          </w:tcPr>
          <w:p w14:paraId="3FA4853F" w14:textId="77777777" w:rsidR="00697413" w:rsidRDefault="00697413" w:rsidP="00697413"/>
        </w:tc>
        <w:tc>
          <w:tcPr>
            <w:tcW w:w="665" w:type="dxa"/>
            <w:shd w:val="clear" w:color="auto" w:fill="FFC000"/>
          </w:tcPr>
          <w:p w14:paraId="2598A206" w14:textId="77777777" w:rsidR="00697413" w:rsidRDefault="00697413" w:rsidP="00697413"/>
        </w:tc>
        <w:tc>
          <w:tcPr>
            <w:tcW w:w="665" w:type="dxa"/>
            <w:shd w:val="clear" w:color="auto" w:fill="FFC000"/>
          </w:tcPr>
          <w:p w14:paraId="6B8C7560" w14:textId="77777777" w:rsidR="00697413" w:rsidRDefault="00697413" w:rsidP="00697413"/>
        </w:tc>
        <w:tc>
          <w:tcPr>
            <w:tcW w:w="665" w:type="dxa"/>
            <w:shd w:val="clear" w:color="auto" w:fill="FFC000"/>
          </w:tcPr>
          <w:p w14:paraId="067FE2BC" w14:textId="77777777" w:rsidR="00697413" w:rsidRDefault="00697413" w:rsidP="00697413"/>
        </w:tc>
        <w:tc>
          <w:tcPr>
            <w:tcW w:w="665" w:type="dxa"/>
            <w:shd w:val="clear" w:color="auto" w:fill="FFC000"/>
          </w:tcPr>
          <w:p w14:paraId="7329E756" w14:textId="77777777" w:rsidR="00697413" w:rsidRDefault="00697413" w:rsidP="00697413"/>
        </w:tc>
        <w:tc>
          <w:tcPr>
            <w:tcW w:w="664" w:type="dxa"/>
            <w:shd w:val="clear" w:color="auto" w:fill="FFC000"/>
          </w:tcPr>
          <w:p w14:paraId="299CD26B" w14:textId="77777777" w:rsidR="00697413" w:rsidRDefault="00697413" w:rsidP="00697413"/>
        </w:tc>
        <w:tc>
          <w:tcPr>
            <w:tcW w:w="664" w:type="dxa"/>
            <w:shd w:val="clear" w:color="auto" w:fill="FFC000"/>
          </w:tcPr>
          <w:p w14:paraId="0041163C" w14:textId="77777777" w:rsidR="00697413" w:rsidRDefault="00697413" w:rsidP="00697413"/>
        </w:tc>
        <w:tc>
          <w:tcPr>
            <w:tcW w:w="664" w:type="dxa"/>
            <w:shd w:val="clear" w:color="auto" w:fill="FFC000"/>
          </w:tcPr>
          <w:p w14:paraId="5BFEBA96" w14:textId="77777777" w:rsidR="00697413" w:rsidRDefault="00697413" w:rsidP="00697413"/>
        </w:tc>
        <w:tc>
          <w:tcPr>
            <w:tcW w:w="664" w:type="dxa"/>
            <w:shd w:val="clear" w:color="auto" w:fill="FFC000"/>
          </w:tcPr>
          <w:p w14:paraId="5648EE93" w14:textId="77777777" w:rsidR="00697413" w:rsidRDefault="00697413" w:rsidP="00697413"/>
        </w:tc>
        <w:tc>
          <w:tcPr>
            <w:tcW w:w="664" w:type="dxa"/>
            <w:shd w:val="clear" w:color="auto" w:fill="FFC000"/>
          </w:tcPr>
          <w:p w14:paraId="46F55CB6" w14:textId="77777777" w:rsidR="00697413" w:rsidRDefault="00697413" w:rsidP="00697413"/>
        </w:tc>
        <w:tc>
          <w:tcPr>
            <w:tcW w:w="664" w:type="dxa"/>
            <w:shd w:val="clear" w:color="auto" w:fill="FFC000"/>
          </w:tcPr>
          <w:p w14:paraId="4DF28DC1" w14:textId="77777777" w:rsidR="00697413" w:rsidRDefault="00697413" w:rsidP="00697413"/>
        </w:tc>
        <w:tc>
          <w:tcPr>
            <w:tcW w:w="664" w:type="dxa"/>
            <w:shd w:val="clear" w:color="auto" w:fill="FFC000"/>
          </w:tcPr>
          <w:p w14:paraId="6D350492" w14:textId="77777777" w:rsidR="00697413" w:rsidRDefault="00697413" w:rsidP="00697413"/>
        </w:tc>
        <w:tc>
          <w:tcPr>
            <w:tcW w:w="664" w:type="dxa"/>
            <w:shd w:val="clear" w:color="auto" w:fill="FFC000"/>
          </w:tcPr>
          <w:p w14:paraId="25FD3E9D" w14:textId="77777777" w:rsidR="00697413" w:rsidRDefault="00697413" w:rsidP="00697413"/>
        </w:tc>
        <w:tc>
          <w:tcPr>
            <w:tcW w:w="664" w:type="dxa"/>
            <w:shd w:val="clear" w:color="auto" w:fill="FFC000"/>
          </w:tcPr>
          <w:p w14:paraId="7F57E453" w14:textId="77777777" w:rsidR="00697413" w:rsidRDefault="00697413" w:rsidP="00697413"/>
        </w:tc>
        <w:tc>
          <w:tcPr>
            <w:tcW w:w="664" w:type="dxa"/>
            <w:shd w:val="clear" w:color="auto" w:fill="FFC000"/>
          </w:tcPr>
          <w:p w14:paraId="69DF3571" w14:textId="77777777" w:rsidR="00697413" w:rsidRDefault="00697413" w:rsidP="00697413"/>
        </w:tc>
        <w:tc>
          <w:tcPr>
            <w:tcW w:w="664" w:type="dxa"/>
            <w:shd w:val="clear" w:color="auto" w:fill="FFC000"/>
          </w:tcPr>
          <w:p w14:paraId="33122278" w14:textId="77777777" w:rsidR="00697413" w:rsidRDefault="00697413" w:rsidP="00697413"/>
        </w:tc>
        <w:tc>
          <w:tcPr>
            <w:tcW w:w="664" w:type="dxa"/>
            <w:shd w:val="clear" w:color="auto" w:fill="FFC000"/>
          </w:tcPr>
          <w:p w14:paraId="59C11714" w14:textId="77777777" w:rsidR="00697413" w:rsidRDefault="00697413" w:rsidP="00697413"/>
        </w:tc>
      </w:tr>
      <w:tr w:rsidR="00697413" w14:paraId="356FB1C2" w14:textId="77777777" w:rsidTr="0046753A">
        <w:trPr>
          <w:trHeight w:val="20"/>
        </w:trPr>
        <w:tc>
          <w:tcPr>
            <w:tcW w:w="629" w:type="dxa"/>
            <w:shd w:val="clear" w:color="auto" w:fill="DBDBDB" w:themeFill="accent3" w:themeFillTint="66"/>
          </w:tcPr>
          <w:p w14:paraId="7DF44F8F" w14:textId="77777777" w:rsidR="00697413" w:rsidRDefault="00697413" w:rsidP="00697413">
            <w:r>
              <w:t>3.5</w:t>
            </w:r>
          </w:p>
        </w:tc>
        <w:tc>
          <w:tcPr>
            <w:tcW w:w="694" w:type="dxa"/>
          </w:tcPr>
          <w:p w14:paraId="209D0EDF" w14:textId="77777777" w:rsidR="00697413" w:rsidRDefault="00697413" w:rsidP="00697413"/>
        </w:tc>
        <w:tc>
          <w:tcPr>
            <w:tcW w:w="666" w:type="dxa"/>
          </w:tcPr>
          <w:p w14:paraId="44504678" w14:textId="77777777" w:rsidR="00697413" w:rsidRDefault="00697413" w:rsidP="00697413"/>
        </w:tc>
        <w:tc>
          <w:tcPr>
            <w:tcW w:w="666" w:type="dxa"/>
            <w:shd w:val="clear" w:color="auto" w:fill="FFC000"/>
          </w:tcPr>
          <w:p w14:paraId="56AC520B" w14:textId="77777777" w:rsidR="00697413" w:rsidRDefault="00697413" w:rsidP="00697413"/>
        </w:tc>
        <w:tc>
          <w:tcPr>
            <w:tcW w:w="665" w:type="dxa"/>
            <w:shd w:val="clear" w:color="auto" w:fill="FFC000"/>
          </w:tcPr>
          <w:p w14:paraId="2BD451C7" w14:textId="77777777" w:rsidR="00697413" w:rsidRDefault="00697413" w:rsidP="00697413"/>
        </w:tc>
        <w:tc>
          <w:tcPr>
            <w:tcW w:w="665" w:type="dxa"/>
            <w:shd w:val="clear" w:color="auto" w:fill="FFC000"/>
          </w:tcPr>
          <w:p w14:paraId="0B521AB6" w14:textId="77777777" w:rsidR="00697413" w:rsidRDefault="00697413" w:rsidP="00697413"/>
        </w:tc>
        <w:tc>
          <w:tcPr>
            <w:tcW w:w="665" w:type="dxa"/>
            <w:shd w:val="clear" w:color="auto" w:fill="FFC000"/>
          </w:tcPr>
          <w:p w14:paraId="67D75C4E" w14:textId="77777777" w:rsidR="00697413" w:rsidRDefault="00697413" w:rsidP="00697413"/>
        </w:tc>
        <w:tc>
          <w:tcPr>
            <w:tcW w:w="665" w:type="dxa"/>
            <w:shd w:val="clear" w:color="auto" w:fill="FFC000"/>
          </w:tcPr>
          <w:p w14:paraId="4BFD1246" w14:textId="77777777" w:rsidR="00697413" w:rsidRDefault="00697413" w:rsidP="00697413"/>
        </w:tc>
        <w:tc>
          <w:tcPr>
            <w:tcW w:w="665" w:type="dxa"/>
            <w:shd w:val="clear" w:color="auto" w:fill="FFC000"/>
          </w:tcPr>
          <w:p w14:paraId="46B2DD86" w14:textId="77777777" w:rsidR="00697413" w:rsidRDefault="00697413" w:rsidP="00697413"/>
        </w:tc>
        <w:tc>
          <w:tcPr>
            <w:tcW w:w="664" w:type="dxa"/>
            <w:shd w:val="clear" w:color="auto" w:fill="FFC000"/>
          </w:tcPr>
          <w:p w14:paraId="56E92C34" w14:textId="77777777" w:rsidR="00697413" w:rsidRDefault="00697413" w:rsidP="00697413"/>
        </w:tc>
        <w:tc>
          <w:tcPr>
            <w:tcW w:w="664" w:type="dxa"/>
            <w:shd w:val="clear" w:color="auto" w:fill="FFC000"/>
          </w:tcPr>
          <w:p w14:paraId="4A51AE84" w14:textId="77777777" w:rsidR="00697413" w:rsidRDefault="00697413" w:rsidP="00697413"/>
        </w:tc>
        <w:tc>
          <w:tcPr>
            <w:tcW w:w="664" w:type="dxa"/>
            <w:shd w:val="clear" w:color="auto" w:fill="FFC000"/>
          </w:tcPr>
          <w:p w14:paraId="3AA0DFCF" w14:textId="77777777" w:rsidR="00697413" w:rsidRDefault="00697413" w:rsidP="00697413"/>
        </w:tc>
        <w:tc>
          <w:tcPr>
            <w:tcW w:w="664" w:type="dxa"/>
            <w:shd w:val="clear" w:color="auto" w:fill="FFC000"/>
          </w:tcPr>
          <w:p w14:paraId="48B6EA94" w14:textId="77777777" w:rsidR="00697413" w:rsidRDefault="00697413" w:rsidP="00697413"/>
        </w:tc>
        <w:tc>
          <w:tcPr>
            <w:tcW w:w="664" w:type="dxa"/>
            <w:shd w:val="clear" w:color="auto" w:fill="FFC000"/>
          </w:tcPr>
          <w:p w14:paraId="2C521C90" w14:textId="77777777" w:rsidR="00697413" w:rsidRDefault="00697413" w:rsidP="00697413"/>
        </w:tc>
        <w:tc>
          <w:tcPr>
            <w:tcW w:w="664" w:type="dxa"/>
            <w:shd w:val="clear" w:color="auto" w:fill="FFC000"/>
          </w:tcPr>
          <w:p w14:paraId="651E9042" w14:textId="77777777" w:rsidR="00697413" w:rsidRDefault="00697413" w:rsidP="00697413"/>
        </w:tc>
        <w:tc>
          <w:tcPr>
            <w:tcW w:w="664" w:type="dxa"/>
            <w:shd w:val="clear" w:color="auto" w:fill="FFC000"/>
          </w:tcPr>
          <w:p w14:paraId="60912CE9" w14:textId="77777777" w:rsidR="00697413" w:rsidRDefault="00697413" w:rsidP="00697413"/>
        </w:tc>
        <w:tc>
          <w:tcPr>
            <w:tcW w:w="664" w:type="dxa"/>
            <w:shd w:val="clear" w:color="auto" w:fill="FFC000"/>
          </w:tcPr>
          <w:p w14:paraId="3C74C6EE" w14:textId="77777777" w:rsidR="00697413" w:rsidRDefault="00697413" w:rsidP="00697413"/>
        </w:tc>
        <w:tc>
          <w:tcPr>
            <w:tcW w:w="664" w:type="dxa"/>
            <w:shd w:val="clear" w:color="auto" w:fill="FFC000"/>
          </w:tcPr>
          <w:p w14:paraId="67005B98" w14:textId="77777777" w:rsidR="00697413" w:rsidRDefault="00697413" w:rsidP="00697413"/>
        </w:tc>
        <w:tc>
          <w:tcPr>
            <w:tcW w:w="664" w:type="dxa"/>
            <w:shd w:val="clear" w:color="auto" w:fill="FFC000"/>
          </w:tcPr>
          <w:p w14:paraId="13C6CCD5" w14:textId="77777777" w:rsidR="00697413" w:rsidRDefault="00697413" w:rsidP="00697413"/>
        </w:tc>
        <w:tc>
          <w:tcPr>
            <w:tcW w:w="664" w:type="dxa"/>
            <w:shd w:val="clear" w:color="auto" w:fill="FFC000"/>
          </w:tcPr>
          <w:p w14:paraId="4CACCF76" w14:textId="77777777" w:rsidR="00697413" w:rsidRDefault="00697413" w:rsidP="00697413"/>
        </w:tc>
        <w:tc>
          <w:tcPr>
            <w:tcW w:w="664" w:type="dxa"/>
            <w:shd w:val="clear" w:color="auto" w:fill="FFC000"/>
          </w:tcPr>
          <w:p w14:paraId="1C9FB1AB" w14:textId="77777777" w:rsidR="00697413" w:rsidRDefault="00697413" w:rsidP="00697413"/>
        </w:tc>
      </w:tr>
      <w:tr w:rsidR="00697413" w14:paraId="09382F16" w14:textId="77777777" w:rsidTr="0046753A">
        <w:trPr>
          <w:trHeight w:val="20"/>
        </w:trPr>
        <w:tc>
          <w:tcPr>
            <w:tcW w:w="629" w:type="dxa"/>
            <w:shd w:val="clear" w:color="auto" w:fill="DBDBDB" w:themeFill="accent3" w:themeFillTint="66"/>
          </w:tcPr>
          <w:p w14:paraId="190321A4" w14:textId="77777777" w:rsidR="00697413" w:rsidRDefault="00697413" w:rsidP="00697413">
            <w:r>
              <w:t>3.6</w:t>
            </w:r>
          </w:p>
        </w:tc>
        <w:tc>
          <w:tcPr>
            <w:tcW w:w="694" w:type="dxa"/>
          </w:tcPr>
          <w:p w14:paraId="282E52F7" w14:textId="77777777" w:rsidR="00697413" w:rsidRDefault="00697413" w:rsidP="00697413"/>
        </w:tc>
        <w:tc>
          <w:tcPr>
            <w:tcW w:w="666" w:type="dxa"/>
          </w:tcPr>
          <w:p w14:paraId="1431A506" w14:textId="77777777" w:rsidR="00697413" w:rsidRDefault="00697413" w:rsidP="00697413"/>
        </w:tc>
        <w:tc>
          <w:tcPr>
            <w:tcW w:w="666" w:type="dxa"/>
          </w:tcPr>
          <w:p w14:paraId="4F94A21B" w14:textId="77777777" w:rsidR="00697413" w:rsidRDefault="00697413" w:rsidP="00697413"/>
        </w:tc>
        <w:tc>
          <w:tcPr>
            <w:tcW w:w="665" w:type="dxa"/>
            <w:shd w:val="clear" w:color="auto" w:fill="FFC000"/>
          </w:tcPr>
          <w:p w14:paraId="141BD83A" w14:textId="77777777" w:rsidR="00697413" w:rsidRDefault="00697413" w:rsidP="00697413"/>
        </w:tc>
        <w:tc>
          <w:tcPr>
            <w:tcW w:w="665" w:type="dxa"/>
          </w:tcPr>
          <w:p w14:paraId="0B42EA90" w14:textId="77777777" w:rsidR="00697413" w:rsidRDefault="00697413" w:rsidP="00697413"/>
        </w:tc>
        <w:tc>
          <w:tcPr>
            <w:tcW w:w="665" w:type="dxa"/>
          </w:tcPr>
          <w:p w14:paraId="212D4059" w14:textId="77777777" w:rsidR="00697413" w:rsidRDefault="00697413" w:rsidP="00697413"/>
        </w:tc>
        <w:tc>
          <w:tcPr>
            <w:tcW w:w="665" w:type="dxa"/>
          </w:tcPr>
          <w:p w14:paraId="600A6C59" w14:textId="77777777" w:rsidR="00697413" w:rsidRDefault="00697413" w:rsidP="00697413"/>
        </w:tc>
        <w:tc>
          <w:tcPr>
            <w:tcW w:w="665" w:type="dxa"/>
            <w:shd w:val="clear" w:color="auto" w:fill="FFC000"/>
          </w:tcPr>
          <w:p w14:paraId="0AEB8041" w14:textId="77777777" w:rsidR="00697413" w:rsidRDefault="00697413" w:rsidP="00697413"/>
        </w:tc>
        <w:tc>
          <w:tcPr>
            <w:tcW w:w="664" w:type="dxa"/>
          </w:tcPr>
          <w:p w14:paraId="07A40300" w14:textId="77777777" w:rsidR="00697413" w:rsidRDefault="00697413" w:rsidP="00697413"/>
        </w:tc>
        <w:tc>
          <w:tcPr>
            <w:tcW w:w="664" w:type="dxa"/>
          </w:tcPr>
          <w:p w14:paraId="3A13D21E" w14:textId="77777777" w:rsidR="00697413" w:rsidRDefault="00697413" w:rsidP="00697413"/>
        </w:tc>
        <w:tc>
          <w:tcPr>
            <w:tcW w:w="664" w:type="dxa"/>
          </w:tcPr>
          <w:p w14:paraId="2570AECE" w14:textId="77777777" w:rsidR="00697413" w:rsidRDefault="00697413" w:rsidP="00697413"/>
        </w:tc>
        <w:tc>
          <w:tcPr>
            <w:tcW w:w="664" w:type="dxa"/>
            <w:shd w:val="clear" w:color="auto" w:fill="FFC000"/>
          </w:tcPr>
          <w:p w14:paraId="6EEEC982" w14:textId="77777777" w:rsidR="00697413" w:rsidRDefault="00697413" w:rsidP="00697413"/>
        </w:tc>
        <w:tc>
          <w:tcPr>
            <w:tcW w:w="664" w:type="dxa"/>
          </w:tcPr>
          <w:p w14:paraId="59B574AA" w14:textId="77777777" w:rsidR="00697413" w:rsidRDefault="00697413" w:rsidP="00697413"/>
        </w:tc>
        <w:tc>
          <w:tcPr>
            <w:tcW w:w="664" w:type="dxa"/>
          </w:tcPr>
          <w:p w14:paraId="21498217" w14:textId="77777777" w:rsidR="00697413" w:rsidRDefault="00697413" w:rsidP="00697413"/>
        </w:tc>
        <w:tc>
          <w:tcPr>
            <w:tcW w:w="664" w:type="dxa"/>
          </w:tcPr>
          <w:p w14:paraId="1C106827" w14:textId="77777777" w:rsidR="00697413" w:rsidRDefault="00697413" w:rsidP="00697413"/>
        </w:tc>
        <w:tc>
          <w:tcPr>
            <w:tcW w:w="664" w:type="dxa"/>
            <w:shd w:val="clear" w:color="auto" w:fill="FFC000"/>
          </w:tcPr>
          <w:p w14:paraId="3C7851B2" w14:textId="77777777" w:rsidR="00697413" w:rsidRDefault="00697413" w:rsidP="00697413"/>
        </w:tc>
        <w:tc>
          <w:tcPr>
            <w:tcW w:w="664" w:type="dxa"/>
          </w:tcPr>
          <w:p w14:paraId="6EE2F5F9" w14:textId="77777777" w:rsidR="00697413" w:rsidRDefault="00697413" w:rsidP="00697413"/>
        </w:tc>
        <w:tc>
          <w:tcPr>
            <w:tcW w:w="664" w:type="dxa"/>
            <w:shd w:val="clear" w:color="auto" w:fill="FFC000"/>
          </w:tcPr>
          <w:p w14:paraId="14034945" w14:textId="77777777" w:rsidR="00697413" w:rsidRDefault="00697413" w:rsidP="00697413"/>
        </w:tc>
        <w:tc>
          <w:tcPr>
            <w:tcW w:w="664" w:type="dxa"/>
            <w:shd w:val="clear" w:color="auto" w:fill="FFC000"/>
          </w:tcPr>
          <w:p w14:paraId="5D1EA0A0" w14:textId="77777777" w:rsidR="00697413" w:rsidRDefault="00697413" w:rsidP="00697413"/>
        </w:tc>
        <w:tc>
          <w:tcPr>
            <w:tcW w:w="664" w:type="dxa"/>
            <w:shd w:val="clear" w:color="auto" w:fill="FFC000"/>
          </w:tcPr>
          <w:p w14:paraId="7B04FBAE" w14:textId="77777777" w:rsidR="00697413" w:rsidRDefault="00697413" w:rsidP="00697413"/>
        </w:tc>
      </w:tr>
      <w:tr w:rsidR="00697413" w14:paraId="6A674797" w14:textId="77777777" w:rsidTr="0046753A">
        <w:trPr>
          <w:trHeight w:val="20"/>
        </w:trPr>
        <w:tc>
          <w:tcPr>
            <w:tcW w:w="629" w:type="dxa"/>
            <w:shd w:val="clear" w:color="auto" w:fill="DBDBDB" w:themeFill="accent3" w:themeFillTint="66"/>
          </w:tcPr>
          <w:p w14:paraId="4B730F9F" w14:textId="77777777" w:rsidR="00697413" w:rsidRDefault="00697413" w:rsidP="00697413">
            <w:r>
              <w:t>3.7</w:t>
            </w:r>
          </w:p>
        </w:tc>
        <w:tc>
          <w:tcPr>
            <w:tcW w:w="694" w:type="dxa"/>
          </w:tcPr>
          <w:p w14:paraId="182B1C2F" w14:textId="77777777" w:rsidR="00697413" w:rsidRDefault="00697413" w:rsidP="00697413"/>
        </w:tc>
        <w:tc>
          <w:tcPr>
            <w:tcW w:w="666" w:type="dxa"/>
          </w:tcPr>
          <w:p w14:paraId="48E4ED3F" w14:textId="77777777" w:rsidR="00697413" w:rsidRDefault="00697413" w:rsidP="00697413"/>
        </w:tc>
        <w:tc>
          <w:tcPr>
            <w:tcW w:w="666" w:type="dxa"/>
          </w:tcPr>
          <w:p w14:paraId="116E703E" w14:textId="77777777" w:rsidR="00697413" w:rsidRDefault="00697413" w:rsidP="00697413"/>
        </w:tc>
        <w:tc>
          <w:tcPr>
            <w:tcW w:w="665" w:type="dxa"/>
          </w:tcPr>
          <w:p w14:paraId="54D4B2A5" w14:textId="77777777" w:rsidR="00697413" w:rsidRDefault="00697413" w:rsidP="00697413"/>
        </w:tc>
        <w:tc>
          <w:tcPr>
            <w:tcW w:w="665" w:type="dxa"/>
          </w:tcPr>
          <w:p w14:paraId="7ED63FA6" w14:textId="77777777" w:rsidR="00697413" w:rsidRDefault="00697413" w:rsidP="00697413"/>
        </w:tc>
        <w:tc>
          <w:tcPr>
            <w:tcW w:w="665" w:type="dxa"/>
          </w:tcPr>
          <w:p w14:paraId="7C54D017" w14:textId="77777777" w:rsidR="00697413" w:rsidRDefault="00697413" w:rsidP="00697413"/>
        </w:tc>
        <w:tc>
          <w:tcPr>
            <w:tcW w:w="665" w:type="dxa"/>
          </w:tcPr>
          <w:p w14:paraId="5CC00E3F" w14:textId="77777777" w:rsidR="00697413" w:rsidRDefault="00697413" w:rsidP="00697413"/>
        </w:tc>
        <w:tc>
          <w:tcPr>
            <w:tcW w:w="665" w:type="dxa"/>
          </w:tcPr>
          <w:p w14:paraId="4EEF6585" w14:textId="77777777" w:rsidR="00697413" w:rsidRDefault="00697413" w:rsidP="00697413"/>
        </w:tc>
        <w:tc>
          <w:tcPr>
            <w:tcW w:w="664" w:type="dxa"/>
          </w:tcPr>
          <w:p w14:paraId="511688F7" w14:textId="77777777" w:rsidR="00697413" w:rsidRDefault="00697413" w:rsidP="00697413"/>
        </w:tc>
        <w:tc>
          <w:tcPr>
            <w:tcW w:w="664" w:type="dxa"/>
          </w:tcPr>
          <w:p w14:paraId="689149EA" w14:textId="77777777" w:rsidR="00697413" w:rsidRDefault="00697413" w:rsidP="00697413"/>
        </w:tc>
        <w:tc>
          <w:tcPr>
            <w:tcW w:w="664" w:type="dxa"/>
            <w:shd w:val="clear" w:color="auto" w:fill="FFC000"/>
          </w:tcPr>
          <w:p w14:paraId="28CD7C36" w14:textId="77777777" w:rsidR="00697413" w:rsidRDefault="00697413" w:rsidP="00697413"/>
        </w:tc>
        <w:tc>
          <w:tcPr>
            <w:tcW w:w="664" w:type="dxa"/>
            <w:shd w:val="clear" w:color="auto" w:fill="FFC000"/>
          </w:tcPr>
          <w:p w14:paraId="6E22F42A" w14:textId="77777777" w:rsidR="00697413" w:rsidRDefault="00697413" w:rsidP="00697413"/>
        </w:tc>
        <w:tc>
          <w:tcPr>
            <w:tcW w:w="664" w:type="dxa"/>
            <w:shd w:val="clear" w:color="auto" w:fill="FFC000"/>
          </w:tcPr>
          <w:p w14:paraId="4DFDD336" w14:textId="77777777" w:rsidR="00697413" w:rsidRDefault="00697413" w:rsidP="00697413"/>
        </w:tc>
        <w:tc>
          <w:tcPr>
            <w:tcW w:w="664" w:type="dxa"/>
            <w:shd w:val="clear" w:color="auto" w:fill="FFC000"/>
          </w:tcPr>
          <w:p w14:paraId="1D9CA472" w14:textId="77777777" w:rsidR="00697413" w:rsidRDefault="00697413" w:rsidP="00697413"/>
        </w:tc>
        <w:tc>
          <w:tcPr>
            <w:tcW w:w="664" w:type="dxa"/>
          </w:tcPr>
          <w:p w14:paraId="1D5D7D7C" w14:textId="77777777" w:rsidR="00697413" w:rsidRDefault="00697413" w:rsidP="00697413"/>
        </w:tc>
        <w:tc>
          <w:tcPr>
            <w:tcW w:w="664" w:type="dxa"/>
          </w:tcPr>
          <w:p w14:paraId="26A3D03F" w14:textId="77777777" w:rsidR="00697413" w:rsidRDefault="00697413" w:rsidP="00697413"/>
        </w:tc>
        <w:tc>
          <w:tcPr>
            <w:tcW w:w="664" w:type="dxa"/>
          </w:tcPr>
          <w:p w14:paraId="7578BE53" w14:textId="77777777" w:rsidR="00697413" w:rsidRDefault="00697413" w:rsidP="00697413"/>
        </w:tc>
        <w:tc>
          <w:tcPr>
            <w:tcW w:w="664" w:type="dxa"/>
          </w:tcPr>
          <w:p w14:paraId="342A7442" w14:textId="77777777" w:rsidR="00697413" w:rsidRDefault="00697413" w:rsidP="00697413"/>
        </w:tc>
        <w:tc>
          <w:tcPr>
            <w:tcW w:w="664" w:type="dxa"/>
          </w:tcPr>
          <w:p w14:paraId="5BBAD66D" w14:textId="77777777" w:rsidR="00697413" w:rsidRDefault="00697413" w:rsidP="00697413"/>
        </w:tc>
        <w:tc>
          <w:tcPr>
            <w:tcW w:w="664" w:type="dxa"/>
          </w:tcPr>
          <w:p w14:paraId="29C0F442" w14:textId="77777777" w:rsidR="00697413" w:rsidRDefault="00697413" w:rsidP="00697413"/>
        </w:tc>
      </w:tr>
      <w:tr w:rsidR="00EF2C75" w:rsidRPr="0046753A" w14:paraId="7FE1E13C" w14:textId="77777777" w:rsidTr="0046753A">
        <w:trPr>
          <w:trHeight w:val="20"/>
        </w:trPr>
        <w:tc>
          <w:tcPr>
            <w:tcW w:w="13948" w:type="dxa"/>
            <w:gridSpan w:val="21"/>
            <w:shd w:val="clear" w:color="auto" w:fill="DBDBDB" w:themeFill="accent3" w:themeFillTint="66"/>
          </w:tcPr>
          <w:p w14:paraId="17324DDD"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 xml:space="preserve">Objective 4.0 </w:t>
            </w:r>
            <w:r w:rsidR="00F52E94" w:rsidRPr="00F52E94">
              <w:rPr>
                <w:rFonts w:ascii="Source Sans Pro" w:eastAsia="Source Sans Pro Semibold" w:hAnsi="Source Sans Pro" w:cs="Times New Roman"/>
                <w:b/>
                <w:color w:val="962D91"/>
                <w:sz w:val="24"/>
                <w:szCs w:val="24"/>
              </w:rPr>
              <w:t xml:space="preserve">Contribute to the development of Cochrane Membership to ensure the scheme offers maximum opportunities for consumer engagement and involvement  </w:t>
            </w:r>
          </w:p>
        </w:tc>
      </w:tr>
      <w:tr w:rsidR="00697413" w14:paraId="13014517" w14:textId="77777777" w:rsidTr="0046753A">
        <w:trPr>
          <w:trHeight w:val="20"/>
        </w:trPr>
        <w:tc>
          <w:tcPr>
            <w:tcW w:w="629" w:type="dxa"/>
            <w:shd w:val="clear" w:color="auto" w:fill="DBDBDB" w:themeFill="accent3" w:themeFillTint="66"/>
          </w:tcPr>
          <w:p w14:paraId="178AC5B7" w14:textId="77777777" w:rsidR="00697413" w:rsidRDefault="00697413" w:rsidP="00697413">
            <w:r>
              <w:t>4.1</w:t>
            </w:r>
          </w:p>
        </w:tc>
        <w:tc>
          <w:tcPr>
            <w:tcW w:w="694" w:type="dxa"/>
            <w:shd w:val="clear" w:color="auto" w:fill="FFC000"/>
          </w:tcPr>
          <w:p w14:paraId="41CFCE54" w14:textId="77777777" w:rsidR="00697413" w:rsidRDefault="00697413" w:rsidP="00697413"/>
        </w:tc>
        <w:tc>
          <w:tcPr>
            <w:tcW w:w="666" w:type="dxa"/>
            <w:shd w:val="clear" w:color="auto" w:fill="FFC000"/>
          </w:tcPr>
          <w:p w14:paraId="5C2B45FB" w14:textId="77777777" w:rsidR="00697413" w:rsidRDefault="00697413" w:rsidP="00697413"/>
        </w:tc>
        <w:tc>
          <w:tcPr>
            <w:tcW w:w="666" w:type="dxa"/>
            <w:shd w:val="clear" w:color="auto" w:fill="FFC000"/>
          </w:tcPr>
          <w:p w14:paraId="03288362" w14:textId="77777777" w:rsidR="00697413" w:rsidRDefault="00697413" w:rsidP="00697413"/>
        </w:tc>
        <w:tc>
          <w:tcPr>
            <w:tcW w:w="665" w:type="dxa"/>
            <w:shd w:val="clear" w:color="auto" w:fill="FFC000"/>
          </w:tcPr>
          <w:p w14:paraId="4444E7DF" w14:textId="77777777" w:rsidR="00697413" w:rsidRDefault="00697413" w:rsidP="00697413"/>
        </w:tc>
        <w:tc>
          <w:tcPr>
            <w:tcW w:w="665" w:type="dxa"/>
            <w:shd w:val="clear" w:color="auto" w:fill="FFC000"/>
          </w:tcPr>
          <w:p w14:paraId="2280225E" w14:textId="77777777" w:rsidR="00697413" w:rsidRDefault="00697413" w:rsidP="00697413"/>
        </w:tc>
        <w:tc>
          <w:tcPr>
            <w:tcW w:w="665" w:type="dxa"/>
            <w:shd w:val="clear" w:color="auto" w:fill="FFC000"/>
          </w:tcPr>
          <w:p w14:paraId="28B33E27" w14:textId="77777777" w:rsidR="00697413" w:rsidRDefault="00697413" w:rsidP="00697413"/>
        </w:tc>
        <w:tc>
          <w:tcPr>
            <w:tcW w:w="665" w:type="dxa"/>
            <w:shd w:val="clear" w:color="auto" w:fill="FFC000"/>
          </w:tcPr>
          <w:p w14:paraId="7F641503" w14:textId="77777777" w:rsidR="00697413" w:rsidRDefault="00697413" w:rsidP="00697413"/>
        </w:tc>
        <w:tc>
          <w:tcPr>
            <w:tcW w:w="665" w:type="dxa"/>
            <w:shd w:val="clear" w:color="auto" w:fill="FFC000"/>
          </w:tcPr>
          <w:p w14:paraId="3D8712CB" w14:textId="77777777" w:rsidR="00697413" w:rsidRDefault="00697413" w:rsidP="00697413"/>
        </w:tc>
        <w:tc>
          <w:tcPr>
            <w:tcW w:w="664" w:type="dxa"/>
            <w:shd w:val="clear" w:color="auto" w:fill="FFC000"/>
          </w:tcPr>
          <w:p w14:paraId="01E8D595" w14:textId="77777777" w:rsidR="00697413" w:rsidRDefault="00697413" w:rsidP="00697413"/>
        </w:tc>
        <w:tc>
          <w:tcPr>
            <w:tcW w:w="664" w:type="dxa"/>
            <w:shd w:val="clear" w:color="auto" w:fill="FFC000"/>
          </w:tcPr>
          <w:p w14:paraId="5C5674D1" w14:textId="77777777" w:rsidR="00697413" w:rsidRDefault="00697413" w:rsidP="00697413"/>
        </w:tc>
        <w:tc>
          <w:tcPr>
            <w:tcW w:w="664" w:type="dxa"/>
            <w:shd w:val="clear" w:color="auto" w:fill="FFC000"/>
          </w:tcPr>
          <w:p w14:paraId="7BCC5EE6" w14:textId="77777777" w:rsidR="00697413" w:rsidRDefault="00697413" w:rsidP="00697413"/>
        </w:tc>
        <w:tc>
          <w:tcPr>
            <w:tcW w:w="664" w:type="dxa"/>
            <w:shd w:val="clear" w:color="auto" w:fill="FFC000"/>
          </w:tcPr>
          <w:p w14:paraId="6A61A0C0" w14:textId="77777777" w:rsidR="00697413" w:rsidRDefault="00697413" w:rsidP="00697413"/>
        </w:tc>
        <w:tc>
          <w:tcPr>
            <w:tcW w:w="664" w:type="dxa"/>
            <w:shd w:val="clear" w:color="auto" w:fill="FFC000"/>
          </w:tcPr>
          <w:p w14:paraId="3E60E80D" w14:textId="77777777" w:rsidR="00697413" w:rsidRDefault="00697413" w:rsidP="00697413"/>
        </w:tc>
        <w:tc>
          <w:tcPr>
            <w:tcW w:w="664" w:type="dxa"/>
            <w:shd w:val="clear" w:color="auto" w:fill="FFC000"/>
          </w:tcPr>
          <w:p w14:paraId="26B30FB1" w14:textId="77777777" w:rsidR="00697413" w:rsidRDefault="00697413" w:rsidP="00697413"/>
        </w:tc>
        <w:tc>
          <w:tcPr>
            <w:tcW w:w="664" w:type="dxa"/>
            <w:shd w:val="clear" w:color="auto" w:fill="FFC000"/>
          </w:tcPr>
          <w:p w14:paraId="3E6DD264" w14:textId="77777777" w:rsidR="00697413" w:rsidRDefault="00697413" w:rsidP="00697413"/>
        </w:tc>
        <w:tc>
          <w:tcPr>
            <w:tcW w:w="664" w:type="dxa"/>
            <w:shd w:val="clear" w:color="auto" w:fill="FFC000"/>
          </w:tcPr>
          <w:p w14:paraId="162D1F0C" w14:textId="77777777" w:rsidR="00697413" w:rsidRDefault="00697413" w:rsidP="00697413"/>
        </w:tc>
        <w:tc>
          <w:tcPr>
            <w:tcW w:w="664" w:type="dxa"/>
            <w:shd w:val="clear" w:color="auto" w:fill="FFC000"/>
          </w:tcPr>
          <w:p w14:paraId="5C0CC53B" w14:textId="77777777" w:rsidR="00697413" w:rsidRDefault="00697413" w:rsidP="00697413"/>
        </w:tc>
        <w:tc>
          <w:tcPr>
            <w:tcW w:w="664" w:type="dxa"/>
            <w:shd w:val="clear" w:color="auto" w:fill="FFC000"/>
          </w:tcPr>
          <w:p w14:paraId="70F75946" w14:textId="77777777" w:rsidR="00697413" w:rsidRDefault="00697413" w:rsidP="00697413"/>
        </w:tc>
        <w:tc>
          <w:tcPr>
            <w:tcW w:w="664" w:type="dxa"/>
            <w:shd w:val="clear" w:color="auto" w:fill="FFC000"/>
          </w:tcPr>
          <w:p w14:paraId="5C28C166" w14:textId="77777777" w:rsidR="00697413" w:rsidRDefault="00697413" w:rsidP="00697413"/>
        </w:tc>
        <w:tc>
          <w:tcPr>
            <w:tcW w:w="664" w:type="dxa"/>
            <w:shd w:val="clear" w:color="auto" w:fill="FFC000"/>
          </w:tcPr>
          <w:p w14:paraId="22904058" w14:textId="77777777" w:rsidR="00697413" w:rsidRDefault="00697413" w:rsidP="00697413"/>
        </w:tc>
      </w:tr>
      <w:tr w:rsidR="00EF2C75" w:rsidRPr="0046753A" w14:paraId="2E72444A" w14:textId="77777777" w:rsidTr="0046753A">
        <w:trPr>
          <w:trHeight w:val="20"/>
        </w:trPr>
        <w:tc>
          <w:tcPr>
            <w:tcW w:w="13948" w:type="dxa"/>
            <w:gridSpan w:val="21"/>
            <w:shd w:val="clear" w:color="auto" w:fill="DBDBDB" w:themeFill="accent3" w:themeFillTint="66"/>
          </w:tcPr>
          <w:p w14:paraId="32C44405"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Objective 5 Build on and develop programmes of support for Cochrane consumers</w:t>
            </w:r>
          </w:p>
        </w:tc>
      </w:tr>
      <w:tr w:rsidR="00697413" w14:paraId="72BA5398" w14:textId="77777777" w:rsidTr="00D90225">
        <w:trPr>
          <w:trHeight w:val="20"/>
        </w:trPr>
        <w:tc>
          <w:tcPr>
            <w:tcW w:w="629" w:type="dxa"/>
            <w:shd w:val="clear" w:color="auto" w:fill="DBDBDB" w:themeFill="accent3" w:themeFillTint="66"/>
          </w:tcPr>
          <w:p w14:paraId="70B2A7DE" w14:textId="77777777" w:rsidR="00697413" w:rsidRDefault="00697413" w:rsidP="00697413">
            <w:r>
              <w:t>5.1</w:t>
            </w:r>
          </w:p>
        </w:tc>
        <w:tc>
          <w:tcPr>
            <w:tcW w:w="694" w:type="dxa"/>
          </w:tcPr>
          <w:p w14:paraId="10DED973" w14:textId="77777777" w:rsidR="00697413" w:rsidRDefault="00697413" w:rsidP="00697413"/>
        </w:tc>
        <w:tc>
          <w:tcPr>
            <w:tcW w:w="666" w:type="dxa"/>
            <w:shd w:val="clear" w:color="auto" w:fill="auto"/>
          </w:tcPr>
          <w:p w14:paraId="5048D689" w14:textId="77777777" w:rsidR="00697413" w:rsidRPr="00676197" w:rsidRDefault="00697413" w:rsidP="00697413"/>
        </w:tc>
        <w:tc>
          <w:tcPr>
            <w:tcW w:w="666" w:type="dxa"/>
            <w:shd w:val="clear" w:color="auto" w:fill="auto"/>
          </w:tcPr>
          <w:p w14:paraId="155B23BC" w14:textId="77777777" w:rsidR="00697413" w:rsidRPr="00676197" w:rsidRDefault="00697413" w:rsidP="00697413"/>
        </w:tc>
        <w:tc>
          <w:tcPr>
            <w:tcW w:w="665" w:type="dxa"/>
            <w:shd w:val="clear" w:color="auto" w:fill="auto"/>
          </w:tcPr>
          <w:p w14:paraId="64768E3B" w14:textId="77777777" w:rsidR="00697413" w:rsidRPr="002E4C7E" w:rsidRDefault="00697413" w:rsidP="00697413"/>
        </w:tc>
        <w:tc>
          <w:tcPr>
            <w:tcW w:w="665" w:type="dxa"/>
            <w:shd w:val="clear" w:color="auto" w:fill="auto"/>
          </w:tcPr>
          <w:p w14:paraId="333B4A59" w14:textId="77777777" w:rsidR="00697413" w:rsidRPr="002E4C7E" w:rsidRDefault="00697413" w:rsidP="00697413"/>
        </w:tc>
        <w:tc>
          <w:tcPr>
            <w:tcW w:w="665" w:type="dxa"/>
            <w:shd w:val="clear" w:color="auto" w:fill="FFC000"/>
          </w:tcPr>
          <w:p w14:paraId="049FF4CE" w14:textId="77777777" w:rsidR="00697413" w:rsidRDefault="00697413" w:rsidP="00697413"/>
        </w:tc>
        <w:tc>
          <w:tcPr>
            <w:tcW w:w="665" w:type="dxa"/>
            <w:shd w:val="clear" w:color="auto" w:fill="FFC000"/>
          </w:tcPr>
          <w:p w14:paraId="077F265B" w14:textId="77777777" w:rsidR="00697413" w:rsidRDefault="00697413" w:rsidP="00697413"/>
        </w:tc>
        <w:tc>
          <w:tcPr>
            <w:tcW w:w="665" w:type="dxa"/>
            <w:shd w:val="clear" w:color="auto" w:fill="FFC000"/>
          </w:tcPr>
          <w:p w14:paraId="33EF2848" w14:textId="77777777" w:rsidR="00697413" w:rsidRDefault="00697413" w:rsidP="00697413"/>
        </w:tc>
        <w:tc>
          <w:tcPr>
            <w:tcW w:w="664" w:type="dxa"/>
            <w:shd w:val="clear" w:color="auto" w:fill="FFC000"/>
          </w:tcPr>
          <w:p w14:paraId="78E926F9" w14:textId="77777777" w:rsidR="00697413" w:rsidRDefault="00697413" w:rsidP="00697413"/>
        </w:tc>
        <w:tc>
          <w:tcPr>
            <w:tcW w:w="664" w:type="dxa"/>
            <w:shd w:val="clear" w:color="auto" w:fill="FFC000"/>
          </w:tcPr>
          <w:p w14:paraId="23890FFA" w14:textId="77777777" w:rsidR="00697413" w:rsidRDefault="00697413" w:rsidP="00697413"/>
        </w:tc>
        <w:tc>
          <w:tcPr>
            <w:tcW w:w="664" w:type="dxa"/>
            <w:shd w:val="clear" w:color="auto" w:fill="FFC000"/>
          </w:tcPr>
          <w:p w14:paraId="5C36A47D" w14:textId="77777777" w:rsidR="00697413" w:rsidRDefault="00697413" w:rsidP="00697413"/>
        </w:tc>
        <w:tc>
          <w:tcPr>
            <w:tcW w:w="664" w:type="dxa"/>
            <w:shd w:val="clear" w:color="auto" w:fill="FFC000"/>
          </w:tcPr>
          <w:p w14:paraId="375131DE" w14:textId="77777777" w:rsidR="00697413" w:rsidRDefault="00697413" w:rsidP="00697413"/>
        </w:tc>
        <w:tc>
          <w:tcPr>
            <w:tcW w:w="664" w:type="dxa"/>
            <w:shd w:val="clear" w:color="auto" w:fill="FFC000"/>
          </w:tcPr>
          <w:p w14:paraId="40F2DF0D" w14:textId="77777777" w:rsidR="00697413" w:rsidRDefault="00697413" w:rsidP="00697413"/>
        </w:tc>
        <w:tc>
          <w:tcPr>
            <w:tcW w:w="664" w:type="dxa"/>
            <w:shd w:val="clear" w:color="auto" w:fill="FFC000"/>
          </w:tcPr>
          <w:p w14:paraId="4063C18D" w14:textId="77777777" w:rsidR="00697413" w:rsidRDefault="00697413" w:rsidP="00697413"/>
        </w:tc>
        <w:tc>
          <w:tcPr>
            <w:tcW w:w="664" w:type="dxa"/>
            <w:shd w:val="clear" w:color="auto" w:fill="FFC000"/>
          </w:tcPr>
          <w:p w14:paraId="4E05112B" w14:textId="77777777" w:rsidR="00697413" w:rsidRDefault="00697413" w:rsidP="00697413"/>
        </w:tc>
        <w:tc>
          <w:tcPr>
            <w:tcW w:w="664" w:type="dxa"/>
            <w:shd w:val="clear" w:color="auto" w:fill="FFC000"/>
          </w:tcPr>
          <w:p w14:paraId="33707B62" w14:textId="77777777" w:rsidR="00697413" w:rsidRDefault="00697413" w:rsidP="00697413"/>
        </w:tc>
        <w:tc>
          <w:tcPr>
            <w:tcW w:w="664" w:type="dxa"/>
            <w:shd w:val="clear" w:color="auto" w:fill="FFC000"/>
          </w:tcPr>
          <w:p w14:paraId="7D3A337E" w14:textId="77777777" w:rsidR="00697413" w:rsidRDefault="00697413" w:rsidP="00697413"/>
        </w:tc>
        <w:tc>
          <w:tcPr>
            <w:tcW w:w="664" w:type="dxa"/>
            <w:shd w:val="clear" w:color="auto" w:fill="FFC000"/>
          </w:tcPr>
          <w:p w14:paraId="3CD66142" w14:textId="77777777" w:rsidR="00697413" w:rsidRDefault="00697413" w:rsidP="00697413"/>
        </w:tc>
        <w:tc>
          <w:tcPr>
            <w:tcW w:w="664" w:type="dxa"/>
            <w:shd w:val="clear" w:color="auto" w:fill="FFC000"/>
          </w:tcPr>
          <w:p w14:paraId="075DFDD1" w14:textId="77777777" w:rsidR="00697413" w:rsidRDefault="00697413" w:rsidP="00697413"/>
        </w:tc>
        <w:tc>
          <w:tcPr>
            <w:tcW w:w="664" w:type="dxa"/>
            <w:shd w:val="clear" w:color="auto" w:fill="FFC000"/>
          </w:tcPr>
          <w:p w14:paraId="3BDEF06D" w14:textId="77777777" w:rsidR="00697413" w:rsidRDefault="00697413" w:rsidP="00697413"/>
        </w:tc>
      </w:tr>
      <w:tr w:rsidR="00697413" w14:paraId="0D9266E3" w14:textId="77777777" w:rsidTr="0046753A">
        <w:trPr>
          <w:trHeight w:val="20"/>
        </w:trPr>
        <w:tc>
          <w:tcPr>
            <w:tcW w:w="629" w:type="dxa"/>
            <w:shd w:val="clear" w:color="auto" w:fill="DBDBDB" w:themeFill="accent3" w:themeFillTint="66"/>
          </w:tcPr>
          <w:p w14:paraId="7125F1CA" w14:textId="77777777" w:rsidR="00697413" w:rsidRDefault="00697413" w:rsidP="00697413">
            <w:r>
              <w:t>5.2</w:t>
            </w:r>
          </w:p>
        </w:tc>
        <w:tc>
          <w:tcPr>
            <w:tcW w:w="694" w:type="dxa"/>
            <w:shd w:val="clear" w:color="auto" w:fill="FFC000"/>
          </w:tcPr>
          <w:p w14:paraId="57B9D116" w14:textId="77777777" w:rsidR="00697413" w:rsidRDefault="00697413" w:rsidP="00697413"/>
        </w:tc>
        <w:tc>
          <w:tcPr>
            <w:tcW w:w="666" w:type="dxa"/>
          </w:tcPr>
          <w:p w14:paraId="0E9718D4" w14:textId="77777777" w:rsidR="00697413" w:rsidRDefault="00697413" w:rsidP="00697413"/>
        </w:tc>
        <w:tc>
          <w:tcPr>
            <w:tcW w:w="666" w:type="dxa"/>
          </w:tcPr>
          <w:p w14:paraId="55A03CB4" w14:textId="77777777" w:rsidR="00697413" w:rsidRDefault="00697413" w:rsidP="00697413"/>
        </w:tc>
        <w:tc>
          <w:tcPr>
            <w:tcW w:w="665" w:type="dxa"/>
          </w:tcPr>
          <w:p w14:paraId="7F45AE5D" w14:textId="77777777" w:rsidR="00697413" w:rsidRDefault="00697413" w:rsidP="00697413"/>
        </w:tc>
        <w:tc>
          <w:tcPr>
            <w:tcW w:w="665" w:type="dxa"/>
          </w:tcPr>
          <w:p w14:paraId="2F3F11FC" w14:textId="77777777" w:rsidR="00697413" w:rsidRDefault="00697413" w:rsidP="00697413"/>
        </w:tc>
        <w:tc>
          <w:tcPr>
            <w:tcW w:w="665" w:type="dxa"/>
          </w:tcPr>
          <w:p w14:paraId="21A1AF1D" w14:textId="77777777" w:rsidR="00697413" w:rsidRDefault="00697413" w:rsidP="00697413"/>
        </w:tc>
        <w:tc>
          <w:tcPr>
            <w:tcW w:w="665" w:type="dxa"/>
          </w:tcPr>
          <w:p w14:paraId="52C7B8B6" w14:textId="77777777" w:rsidR="00697413" w:rsidRDefault="00697413" w:rsidP="00697413"/>
        </w:tc>
        <w:tc>
          <w:tcPr>
            <w:tcW w:w="665" w:type="dxa"/>
          </w:tcPr>
          <w:p w14:paraId="5305FB67" w14:textId="77777777" w:rsidR="00697413" w:rsidRDefault="00697413" w:rsidP="00697413"/>
        </w:tc>
        <w:tc>
          <w:tcPr>
            <w:tcW w:w="664" w:type="dxa"/>
          </w:tcPr>
          <w:p w14:paraId="278A7DBB" w14:textId="77777777" w:rsidR="00697413" w:rsidRDefault="00697413" w:rsidP="00697413"/>
        </w:tc>
        <w:tc>
          <w:tcPr>
            <w:tcW w:w="664" w:type="dxa"/>
          </w:tcPr>
          <w:p w14:paraId="07062436" w14:textId="77777777" w:rsidR="00697413" w:rsidRDefault="00697413" w:rsidP="00697413"/>
        </w:tc>
        <w:tc>
          <w:tcPr>
            <w:tcW w:w="664" w:type="dxa"/>
          </w:tcPr>
          <w:p w14:paraId="11A7E4B7" w14:textId="77777777" w:rsidR="00697413" w:rsidRDefault="00697413" w:rsidP="00697413"/>
        </w:tc>
        <w:tc>
          <w:tcPr>
            <w:tcW w:w="664" w:type="dxa"/>
          </w:tcPr>
          <w:p w14:paraId="70FE03B0" w14:textId="77777777" w:rsidR="00697413" w:rsidRDefault="00697413" w:rsidP="00697413"/>
        </w:tc>
        <w:tc>
          <w:tcPr>
            <w:tcW w:w="664" w:type="dxa"/>
          </w:tcPr>
          <w:p w14:paraId="5BE07484" w14:textId="77777777" w:rsidR="00697413" w:rsidRDefault="00697413" w:rsidP="00697413"/>
        </w:tc>
        <w:tc>
          <w:tcPr>
            <w:tcW w:w="664" w:type="dxa"/>
          </w:tcPr>
          <w:p w14:paraId="4CE2D647" w14:textId="77777777" w:rsidR="00697413" w:rsidRDefault="00697413" w:rsidP="00697413"/>
        </w:tc>
        <w:tc>
          <w:tcPr>
            <w:tcW w:w="664" w:type="dxa"/>
          </w:tcPr>
          <w:p w14:paraId="354331F8" w14:textId="77777777" w:rsidR="00697413" w:rsidRDefault="00697413" w:rsidP="00697413"/>
        </w:tc>
        <w:tc>
          <w:tcPr>
            <w:tcW w:w="664" w:type="dxa"/>
          </w:tcPr>
          <w:p w14:paraId="6DE0B834" w14:textId="77777777" w:rsidR="00697413" w:rsidRDefault="00697413" w:rsidP="00697413"/>
        </w:tc>
        <w:tc>
          <w:tcPr>
            <w:tcW w:w="664" w:type="dxa"/>
          </w:tcPr>
          <w:p w14:paraId="61079D2C" w14:textId="77777777" w:rsidR="00697413" w:rsidRDefault="00697413" w:rsidP="00697413"/>
        </w:tc>
        <w:tc>
          <w:tcPr>
            <w:tcW w:w="664" w:type="dxa"/>
          </w:tcPr>
          <w:p w14:paraId="7C258B9B" w14:textId="77777777" w:rsidR="00697413" w:rsidRDefault="00697413" w:rsidP="00697413"/>
        </w:tc>
        <w:tc>
          <w:tcPr>
            <w:tcW w:w="664" w:type="dxa"/>
          </w:tcPr>
          <w:p w14:paraId="4769A55B" w14:textId="77777777" w:rsidR="00697413" w:rsidRDefault="00697413" w:rsidP="00697413"/>
        </w:tc>
        <w:tc>
          <w:tcPr>
            <w:tcW w:w="664" w:type="dxa"/>
          </w:tcPr>
          <w:p w14:paraId="3AF96B33" w14:textId="77777777" w:rsidR="00697413" w:rsidRDefault="00697413" w:rsidP="00697413"/>
        </w:tc>
      </w:tr>
      <w:tr w:rsidR="00697413" w14:paraId="5131E47A" w14:textId="77777777" w:rsidTr="0046753A">
        <w:trPr>
          <w:trHeight w:val="20"/>
        </w:trPr>
        <w:tc>
          <w:tcPr>
            <w:tcW w:w="629" w:type="dxa"/>
            <w:shd w:val="clear" w:color="auto" w:fill="DBDBDB" w:themeFill="accent3" w:themeFillTint="66"/>
          </w:tcPr>
          <w:p w14:paraId="4481C065" w14:textId="77777777" w:rsidR="00697413" w:rsidRDefault="00697413" w:rsidP="00697413">
            <w:r>
              <w:t>5.3</w:t>
            </w:r>
          </w:p>
        </w:tc>
        <w:tc>
          <w:tcPr>
            <w:tcW w:w="694" w:type="dxa"/>
            <w:shd w:val="clear" w:color="auto" w:fill="FFC000"/>
          </w:tcPr>
          <w:p w14:paraId="40BEC9CB" w14:textId="77777777" w:rsidR="00697413" w:rsidRDefault="00697413" w:rsidP="00697413"/>
        </w:tc>
        <w:tc>
          <w:tcPr>
            <w:tcW w:w="666" w:type="dxa"/>
            <w:shd w:val="clear" w:color="auto" w:fill="FFC000"/>
          </w:tcPr>
          <w:p w14:paraId="7250482F" w14:textId="77777777" w:rsidR="00697413" w:rsidRDefault="00697413" w:rsidP="00697413"/>
        </w:tc>
        <w:tc>
          <w:tcPr>
            <w:tcW w:w="666" w:type="dxa"/>
            <w:shd w:val="clear" w:color="auto" w:fill="FFC000"/>
          </w:tcPr>
          <w:p w14:paraId="0CEE324E" w14:textId="77777777" w:rsidR="00697413" w:rsidRDefault="00697413" w:rsidP="00697413"/>
        </w:tc>
        <w:tc>
          <w:tcPr>
            <w:tcW w:w="665" w:type="dxa"/>
            <w:shd w:val="clear" w:color="auto" w:fill="FFC000"/>
          </w:tcPr>
          <w:p w14:paraId="290C9E4C" w14:textId="77777777" w:rsidR="00697413" w:rsidRDefault="00697413" w:rsidP="00697413"/>
        </w:tc>
        <w:tc>
          <w:tcPr>
            <w:tcW w:w="665" w:type="dxa"/>
            <w:shd w:val="clear" w:color="auto" w:fill="FFC000"/>
          </w:tcPr>
          <w:p w14:paraId="642199C8" w14:textId="77777777" w:rsidR="00697413" w:rsidRDefault="00697413" w:rsidP="00697413"/>
        </w:tc>
        <w:tc>
          <w:tcPr>
            <w:tcW w:w="665" w:type="dxa"/>
            <w:shd w:val="clear" w:color="auto" w:fill="FFC000"/>
          </w:tcPr>
          <w:p w14:paraId="78157521" w14:textId="77777777" w:rsidR="00697413" w:rsidRDefault="00697413" w:rsidP="00697413"/>
        </w:tc>
        <w:tc>
          <w:tcPr>
            <w:tcW w:w="665" w:type="dxa"/>
            <w:shd w:val="clear" w:color="auto" w:fill="FFC000"/>
          </w:tcPr>
          <w:p w14:paraId="6A3B6D45" w14:textId="77777777" w:rsidR="00697413" w:rsidRDefault="00697413" w:rsidP="00697413"/>
        </w:tc>
        <w:tc>
          <w:tcPr>
            <w:tcW w:w="665" w:type="dxa"/>
            <w:shd w:val="clear" w:color="auto" w:fill="FFC000"/>
          </w:tcPr>
          <w:p w14:paraId="04DBDAB1" w14:textId="77777777" w:rsidR="00697413" w:rsidRDefault="00697413" w:rsidP="00697413"/>
        </w:tc>
        <w:tc>
          <w:tcPr>
            <w:tcW w:w="664" w:type="dxa"/>
            <w:shd w:val="clear" w:color="auto" w:fill="FFC000"/>
          </w:tcPr>
          <w:p w14:paraId="01617DFD" w14:textId="77777777" w:rsidR="00697413" w:rsidRDefault="00697413" w:rsidP="00697413"/>
        </w:tc>
        <w:tc>
          <w:tcPr>
            <w:tcW w:w="664" w:type="dxa"/>
            <w:shd w:val="clear" w:color="auto" w:fill="FFC000"/>
          </w:tcPr>
          <w:p w14:paraId="142B038B" w14:textId="77777777" w:rsidR="00697413" w:rsidRDefault="00697413" w:rsidP="00697413"/>
        </w:tc>
        <w:tc>
          <w:tcPr>
            <w:tcW w:w="664" w:type="dxa"/>
            <w:shd w:val="clear" w:color="auto" w:fill="FFC000"/>
          </w:tcPr>
          <w:p w14:paraId="51339A8D" w14:textId="77777777" w:rsidR="00697413" w:rsidRDefault="00697413" w:rsidP="00697413"/>
        </w:tc>
        <w:tc>
          <w:tcPr>
            <w:tcW w:w="664" w:type="dxa"/>
            <w:shd w:val="clear" w:color="auto" w:fill="FFC000"/>
          </w:tcPr>
          <w:p w14:paraId="43BCFB43" w14:textId="77777777" w:rsidR="00697413" w:rsidRDefault="00697413" w:rsidP="00697413"/>
        </w:tc>
        <w:tc>
          <w:tcPr>
            <w:tcW w:w="664" w:type="dxa"/>
            <w:shd w:val="clear" w:color="auto" w:fill="FFC000"/>
          </w:tcPr>
          <w:p w14:paraId="44000804" w14:textId="77777777" w:rsidR="00697413" w:rsidRDefault="00697413" w:rsidP="00697413"/>
        </w:tc>
        <w:tc>
          <w:tcPr>
            <w:tcW w:w="664" w:type="dxa"/>
            <w:shd w:val="clear" w:color="auto" w:fill="FFC000"/>
          </w:tcPr>
          <w:p w14:paraId="504050A7" w14:textId="77777777" w:rsidR="00697413" w:rsidRDefault="00697413" w:rsidP="00697413"/>
        </w:tc>
        <w:tc>
          <w:tcPr>
            <w:tcW w:w="664" w:type="dxa"/>
            <w:shd w:val="clear" w:color="auto" w:fill="FFC000"/>
          </w:tcPr>
          <w:p w14:paraId="4E62F048" w14:textId="77777777" w:rsidR="00697413" w:rsidRDefault="00697413" w:rsidP="00697413"/>
        </w:tc>
        <w:tc>
          <w:tcPr>
            <w:tcW w:w="664" w:type="dxa"/>
            <w:shd w:val="clear" w:color="auto" w:fill="FFC000"/>
          </w:tcPr>
          <w:p w14:paraId="44A8DD49" w14:textId="77777777" w:rsidR="00697413" w:rsidRDefault="00697413" w:rsidP="00697413"/>
        </w:tc>
        <w:tc>
          <w:tcPr>
            <w:tcW w:w="664" w:type="dxa"/>
            <w:shd w:val="clear" w:color="auto" w:fill="FFC000"/>
          </w:tcPr>
          <w:p w14:paraId="1D3E1F46" w14:textId="77777777" w:rsidR="00697413" w:rsidRDefault="00697413" w:rsidP="00697413"/>
        </w:tc>
        <w:tc>
          <w:tcPr>
            <w:tcW w:w="664" w:type="dxa"/>
            <w:shd w:val="clear" w:color="auto" w:fill="FFC000"/>
          </w:tcPr>
          <w:p w14:paraId="73428D87" w14:textId="77777777" w:rsidR="00697413" w:rsidRDefault="00697413" w:rsidP="00697413"/>
        </w:tc>
        <w:tc>
          <w:tcPr>
            <w:tcW w:w="664" w:type="dxa"/>
            <w:shd w:val="clear" w:color="auto" w:fill="FFC000"/>
          </w:tcPr>
          <w:p w14:paraId="5B3C70B9" w14:textId="77777777" w:rsidR="00697413" w:rsidRDefault="00697413" w:rsidP="00697413"/>
        </w:tc>
        <w:tc>
          <w:tcPr>
            <w:tcW w:w="664" w:type="dxa"/>
            <w:shd w:val="clear" w:color="auto" w:fill="FFC000"/>
          </w:tcPr>
          <w:p w14:paraId="38BD4CA3" w14:textId="77777777" w:rsidR="00697413" w:rsidRDefault="00697413" w:rsidP="00697413"/>
        </w:tc>
      </w:tr>
      <w:tr w:rsidR="00697413" w14:paraId="67AB6FAF" w14:textId="77777777" w:rsidTr="0046753A">
        <w:trPr>
          <w:trHeight w:val="20"/>
        </w:trPr>
        <w:tc>
          <w:tcPr>
            <w:tcW w:w="629" w:type="dxa"/>
            <w:shd w:val="clear" w:color="auto" w:fill="DBDBDB" w:themeFill="accent3" w:themeFillTint="66"/>
          </w:tcPr>
          <w:p w14:paraId="0216FF4E" w14:textId="77777777" w:rsidR="00697413" w:rsidRDefault="00697413" w:rsidP="00697413">
            <w:r>
              <w:t>5.4</w:t>
            </w:r>
          </w:p>
        </w:tc>
        <w:tc>
          <w:tcPr>
            <w:tcW w:w="694" w:type="dxa"/>
            <w:shd w:val="clear" w:color="auto" w:fill="FFC000"/>
          </w:tcPr>
          <w:p w14:paraId="474D04CA" w14:textId="77777777" w:rsidR="00697413" w:rsidRDefault="00697413" w:rsidP="00697413"/>
        </w:tc>
        <w:tc>
          <w:tcPr>
            <w:tcW w:w="666" w:type="dxa"/>
            <w:shd w:val="clear" w:color="auto" w:fill="FFC000"/>
          </w:tcPr>
          <w:p w14:paraId="70BD8EBA" w14:textId="77777777" w:rsidR="00697413" w:rsidRDefault="00697413" w:rsidP="00697413"/>
        </w:tc>
        <w:tc>
          <w:tcPr>
            <w:tcW w:w="666" w:type="dxa"/>
            <w:shd w:val="clear" w:color="auto" w:fill="FFC000"/>
          </w:tcPr>
          <w:p w14:paraId="33196224" w14:textId="77777777" w:rsidR="00697413" w:rsidRDefault="00697413" w:rsidP="00697413"/>
        </w:tc>
        <w:tc>
          <w:tcPr>
            <w:tcW w:w="665" w:type="dxa"/>
            <w:shd w:val="clear" w:color="auto" w:fill="FFC000"/>
          </w:tcPr>
          <w:p w14:paraId="6FD6E08F" w14:textId="77777777" w:rsidR="00697413" w:rsidRDefault="00697413" w:rsidP="00697413"/>
        </w:tc>
        <w:tc>
          <w:tcPr>
            <w:tcW w:w="665" w:type="dxa"/>
            <w:shd w:val="clear" w:color="auto" w:fill="FFC000"/>
          </w:tcPr>
          <w:p w14:paraId="2171B3DB" w14:textId="77777777" w:rsidR="00697413" w:rsidRDefault="00697413" w:rsidP="00697413"/>
        </w:tc>
        <w:tc>
          <w:tcPr>
            <w:tcW w:w="665" w:type="dxa"/>
            <w:shd w:val="clear" w:color="auto" w:fill="FFC000"/>
          </w:tcPr>
          <w:p w14:paraId="220D8D3C" w14:textId="77777777" w:rsidR="00697413" w:rsidRDefault="00697413" w:rsidP="00697413"/>
        </w:tc>
        <w:tc>
          <w:tcPr>
            <w:tcW w:w="665" w:type="dxa"/>
            <w:shd w:val="clear" w:color="auto" w:fill="FFC000"/>
          </w:tcPr>
          <w:p w14:paraId="7CF004DE" w14:textId="77777777" w:rsidR="00697413" w:rsidRDefault="00697413" w:rsidP="00697413"/>
        </w:tc>
        <w:tc>
          <w:tcPr>
            <w:tcW w:w="665" w:type="dxa"/>
            <w:shd w:val="clear" w:color="auto" w:fill="FFC000"/>
          </w:tcPr>
          <w:p w14:paraId="1EF7C331" w14:textId="77777777" w:rsidR="00697413" w:rsidRDefault="00697413" w:rsidP="00697413"/>
        </w:tc>
        <w:tc>
          <w:tcPr>
            <w:tcW w:w="664" w:type="dxa"/>
            <w:shd w:val="clear" w:color="auto" w:fill="FFC000"/>
          </w:tcPr>
          <w:p w14:paraId="22080319" w14:textId="77777777" w:rsidR="00697413" w:rsidRDefault="00697413" w:rsidP="00697413"/>
        </w:tc>
        <w:tc>
          <w:tcPr>
            <w:tcW w:w="664" w:type="dxa"/>
            <w:shd w:val="clear" w:color="auto" w:fill="FFC000"/>
          </w:tcPr>
          <w:p w14:paraId="286B96D2" w14:textId="77777777" w:rsidR="00697413" w:rsidRDefault="00697413" w:rsidP="00697413"/>
        </w:tc>
        <w:tc>
          <w:tcPr>
            <w:tcW w:w="664" w:type="dxa"/>
            <w:shd w:val="clear" w:color="auto" w:fill="FFC000"/>
          </w:tcPr>
          <w:p w14:paraId="4285CDBB" w14:textId="77777777" w:rsidR="00697413" w:rsidRDefault="00697413" w:rsidP="00697413"/>
        </w:tc>
        <w:tc>
          <w:tcPr>
            <w:tcW w:w="664" w:type="dxa"/>
            <w:shd w:val="clear" w:color="auto" w:fill="FFC000"/>
          </w:tcPr>
          <w:p w14:paraId="223257CD" w14:textId="77777777" w:rsidR="00697413" w:rsidRDefault="00697413" w:rsidP="00697413"/>
        </w:tc>
        <w:tc>
          <w:tcPr>
            <w:tcW w:w="664" w:type="dxa"/>
            <w:shd w:val="clear" w:color="auto" w:fill="FFC000"/>
          </w:tcPr>
          <w:p w14:paraId="005F1749" w14:textId="77777777" w:rsidR="00697413" w:rsidRDefault="00697413" w:rsidP="00697413"/>
        </w:tc>
        <w:tc>
          <w:tcPr>
            <w:tcW w:w="664" w:type="dxa"/>
            <w:shd w:val="clear" w:color="auto" w:fill="FFC000"/>
          </w:tcPr>
          <w:p w14:paraId="5B0D0DC1" w14:textId="77777777" w:rsidR="00697413" w:rsidRDefault="00697413" w:rsidP="00697413"/>
        </w:tc>
        <w:tc>
          <w:tcPr>
            <w:tcW w:w="664" w:type="dxa"/>
            <w:shd w:val="clear" w:color="auto" w:fill="FFC000"/>
          </w:tcPr>
          <w:p w14:paraId="1ED594D6" w14:textId="77777777" w:rsidR="00697413" w:rsidRDefault="00697413" w:rsidP="00697413"/>
        </w:tc>
        <w:tc>
          <w:tcPr>
            <w:tcW w:w="664" w:type="dxa"/>
            <w:shd w:val="clear" w:color="auto" w:fill="FFC000"/>
          </w:tcPr>
          <w:p w14:paraId="02BB90F1" w14:textId="77777777" w:rsidR="00697413" w:rsidRDefault="00697413" w:rsidP="00697413"/>
        </w:tc>
        <w:tc>
          <w:tcPr>
            <w:tcW w:w="664" w:type="dxa"/>
            <w:shd w:val="clear" w:color="auto" w:fill="FFC000"/>
          </w:tcPr>
          <w:p w14:paraId="70B40DB1" w14:textId="77777777" w:rsidR="00697413" w:rsidRDefault="00697413" w:rsidP="00697413"/>
        </w:tc>
        <w:tc>
          <w:tcPr>
            <w:tcW w:w="664" w:type="dxa"/>
            <w:shd w:val="clear" w:color="auto" w:fill="FFC000"/>
          </w:tcPr>
          <w:p w14:paraId="467E3C95" w14:textId="77777777" w:rsidR="00697413" w:rsidRDefault="00697413" w:rsidP="00697413"/>
        </w:tc>
        <w:tc>
          <w:tcPr>
            <w:tcW w:w="664" w:type="dxa"/>
            <w:shd w:val="clear" w:color="auto" w:fill="FFC000"/>
          </w:tcPr>
          <w:p w14:paraId="73E705A7" w14:textId="77777777" w:rsidR="00697413" w:rsidRDefault="00697413" w:rsidP="00697413"/>
        </w:tc>
        <w:tc>
          <w:tcPr>
            <w:tcW w:w="664" w:type="dxa"/>
            <w:shd w:val="clear" w:color="auto" w:fill="FFC000"/>
          </w:tcPr>
          <w:p w14:paraId="00D0DC98" w14:textId="77777777" w:rsidR="00697413" w:rsidRDefault="00697413" w:rsidP="00697413"/>
        </w:tc>
      </w:tr>
      <w:tr w:rsidR="00697413" w14:paraId="1BDCC525" w14:textId="77777777" w:rsidTr="0046753A">
        <w:trPr>
          <w:trHeight w:val="20"/>
        </w:trPr>
        <w:tc>
          <w:tcPr>
            <w:tcW w:w="629" w:type="dxa"/>
            <w:shd w:val="clear" w:color="auto" w:fill="DBDBDB" w:themeFill="accent3" w:themeFillTint="66"/>
          </w:tcPr>
          <w:p w14:paraId="36E87CD2" w14:textId="77777777" w:rsidR="00697413" w:rsidRDefault="00697413" w:rsidP="00697413">
            <w:r>
              <w:t>5.5</w:t>
            </w:r>
          </w:p>
        </w:tc>
        <w:tc>
          <w:tcPr>
            <w:tcW w:w="694" w:type="dxa"/>
          </w:tcPr>
          <w:p w14:paraId="100946FA" w14:textId="77777777" w:rsidR="00697413" w:rsidRDefault="00697413" w:rsidP="00697413"/>
        </w:tc>
        <w:tc>
          <w:tcPr>
            <w:tcW w:w="666" w:type="dxa"/>
          </w:tcPr>
          <w:p w14:paraId="4EF4B19F" w14:textId="77777777" w:rsidR="00697413" w:rsidRDefault="00697413" w:rsidP="00697413"/>
        </w:tc>
        <w:tc>
          <w:tcPr>
            <w:tcW w:w="666" w:type="dxa"/>
          </w:tcPr>
          <w:p w14:paraId="1C4F0192" w14:textId="77777777" w:rsidR="00697413" w:rsidRDefault="00697413" w:rsidP="00697413"/>
        </w:tc>
        <w:tc>
          <w:tcPr>
            <w:tcW w:w="665" w:type="dxa"/>
            <w:shd w:val="clear" w:color="auto" w:fill="FFC000"/>
          </w:tcPr>
          <w:p w14:paraId="1DFC0B98" w14:textId="77777777" w:rsidR="00697413" w:rsidRDefault="00697413" w:rsidP="00697413"/>
        </w:tc>
        <w:tc>
          <w:tcPr>
            <w:tcW w:w="665" w:type="dxa"/>
          </w:tcPr>
          <w:p w14:paraId="6955799E" w14:textId="77777777" w:rsidR="00697413" w:rsidRDefault="00697413" w:rsidP="00697413"/>
        </w:tc>
        <w:tc>
          <w:tcPr>
            <w:tcW w:w="665" w:type="dxa"/>
          </w:tcPr>
          <w:p w14:paraId="0F279378" w14:textId="77777777" w:rsidR="00697413" w:rsidRDefault="00697413" w:rsidP="00697413"/>
        </w:tc>
        <w:tc>
          <w:tcPr>
            <w:tcW w:w="665" w:type="dxa"/>
          </w:tcPr>
          <w:p w14:paraId="7C5119BD" w14:textId="77777777" w:rsidR="00697413" w:rsidRDefault="00697413" w:rsidP="00697413"/>
        </w:tc>
        <w:tc>
          <w:tcPr>
            <w:tcW w:w="665" w:type="dxa"/>
            <w:shd w:val="clear" w:color="auto" w:fill="FFC000"/>
          </w:tcPr>
          <w:p w14:paraId="4E555BE0" w14:textId="77777777" w:rsidR="00697413" w:rsidRDefault="00697413" w:rsidP="00697413"/>
        </w:tc>
        <w:tc>
          <w:tcPr>
            <w:tcW w:w="664" w:type="dxa"/>
          </w:tcPr>
          <w:p w14:paraId="3BB26FBA" w14:textId="77777777" w:rsidR="00697413" w:rsidRDefault="00697413" w:rsidP="00697413"/>
        </w:tc>
        <w:tc>
          <w:tcPr>
            <w:tcW w:w="664" w:type="dxa"/>
          </w:tcPr>
          <w:p w14:paraId="4774F3C2" w14:textId="77777777" w:rsidR="00697413" w:rsidRDefault="00697413" w:rsidP="00697413"/>
        </w:tc>
        <w:tc>
          <w:tcPr>
            <w:tcW w:w="664" w:type="dxa"/>
          </w:tcPr>
          <w:p w14:paraId="6CB8345D" w14:textId="77777777" w:rsidR="00697413" w:rsidRDefault="00697413" w:rsidP="00697413"/>
        </w:tc>
        <w:tc>
          <w:tcPr>
            <w:tcW w:w="664" w:type="dxa"/>
            <w:shd w:val="clear" w:color="auto" w:fill="FFC000"/>
          </w:tcPr>
          <w:p w14:paraId="71BDBA49" w14:textId="77777777" w:rsidR="00697413" w:rsidRDefault="00697413" w:rsidP="00697413"/>
        </w:tc>
        <w:tc>
          <w:tcPr>
            <w:tcW w:w="664" w:type="dxa"/>
          </w:tcPr>
          <w:p w14:paraId="16A06EF2" w14:textId="77777777" w:rsidR="00697413" w:rsidRDefault="00697413" w:rsidP="00697413"/>
        </w:tc>
        <w:tc>
          <w:tcPr>
            <w:tcW w:w="664" w:type="dxa"/>
          </w:tcPr>
          <w:p w14:paraId="23CCE719" w14:textId="77777777" w:rsidR="00697413" w:rsidRDefault="00697413" w:rsidP="00697413"/>
        </w:tc>
        <w:tc>
          <w:tcPr>
            <w:tcW w:w="664" w:type="dxa"/>
          </w:tcPr>
          <w:p w14:paraId="06CA71DE" w14:textId="77777777" w:rsidR="00697413" w:rsidRDefault="00697413" w:rsidP="00697413"/>
        </w:tc>
        <w:tc>
          <w:tcPr>
            <w:tcW w:w="664" w:type="dxa"/>
            <w:shd w:val="clear" w:color="auto" w:fill="FFC000"/>
          </w:tcPr>
          <w:p w14:paraId="1F7F0593" w14:textId="77777777" w:rsidR="00697413" w:rsidRDefault="00697413" w:rsidP="00697413"/>
        </w:tc>
        <w:tc>
          <w:tcPr>
            <w:tcW w:w="664" w:type="dxa"/>
          </w:tcPr>
          <w:p w14:paraId="6705AD85" w14:textId="77777777" w:rsidR="00697413" w:rsidRDefault="00697413" w:rsidP="00697413"/>
        </w:tc>
        <w:tc>
          <w:tcPr>
            <w:tcW w:w="664" w:type="dxa"/>
          </w:tcPr>
          <w:p w14:paraId="5FDEAE57" w14:textId="77777777" w:rsidR="00697413" w:rsidRDefault="00697413" w:rsidP="00697413"/>
        </w:tc>
        <w:tc>
          <w:tcPr>
            <w:tcW w:w="664" w:type="dxa"/>
          </w:tcPr>
          <w:p w14:paraId="7CD33670" w14:textId="77777777" w:rsidR="00697413" w:rsidRDefault="00697413" w:rsidP="00697413"/>
        </w:tc>
        <w:tc>
          <w:tcPr>
            <w:tcW w:w="664" w:type="dxa"/>
            <w:shd w:val="clear" w:color="auto" w:fill="FFC000"/>
          </w:tcPr>
          <w:p w14:paraId="4DDC6A09" w14:textId="77777777" w:rsidR="00697413" w:rsidRDefault="00697413" w:rsidP="00697413"/>
        </w:tc>
      </w:tr>
      <w:tr w:rsidR="00EF2C75" w:rsidRPr="0046753A" w14:paraId="0294F077" w14:textId="77777777" w:rsidTr="0046753A">
        <w:trPr>
          <w:trHeight w:val="20"/>
        </w:trPr>
        <w:tc>
          <w:tcPr>
            <w:tcW w:w="13948" w:type="dxa"/>
            <w:gridSpan w:val="21"/>
            <w:shd w:val="clear" w:color="auto" w:fill="DBDBDB" w:themeFill="accent3" w:themeFillTint="66"/>
          </w:tcPr>
          <w:p w14:paraId="7F83E92A"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Objective 6.0 Improve communication w</w:t>
            </w:r>
            <w:r w:rsidR="00F52E94">
              <w:rPr>
                <w:rFonts w:ascii="Source Sans Pro" w:eastAsia="Source Sans Pro Semibold" w:hAnsi="Source Sans Pro" w:cs="Times New Roman"/>
                <w:b/>
                <w:color w:val="962D91"/>
                <w:sz w:val="24"/>
                <w:szCs w:val="24"/>
              </w:rPr>
              <w:t>ith Cochrane consumers</w:t>
            </w:r>
          </w:p>
        </w:tc>
      </w:tr>
      <w:tr w:rsidR="00697413" w14:paraId="534C75AC" w14:textId="77777777" w:rsidTr="0046753A">
        <w:trPr>
          <w:trHeight w:val="20"/>
        </w:trPr>
        <w:tc>
          <w:tcPr>
            <w:tcW w:w="629" w:type="dxa"/>
            <w:shd w:val="clear" w:color="auto" w:fill="DBDBDB" w:themeFill="accent3" w:themeFillTint="66"/>
          </w:tcPr>
          <w:p w14:paraId="26D9B09E" w14:textId="77777777" w:rsidR="00697413" w:rsidRDefault="00697413" w:rsidP="00697413">
            <w:r>
              <w:t>6.1</w:t>
            </w:r>
          </w:p>
        </w:tc>
        <w:tc>
          <w:tcPr>
            <w:tcW w:w="694" w:type="dxa"/>
          </w:tcPr>
          <w:p w14:paraId="08595766" w14:textId="77777777" w:rsidR="00697413" w:rsidRDefault="00697413" w:rsidP="00697413"/>
        </w:tc>
        <w:tc>
          <w:tcPr>
            <w:tcW w:w="666" w:type="dxa"/>
          </w:tcPr>
          <w:p w14:paraId="667A9ECC" w14:textId="77777777" w:rsidR="00697413" w:rsidRDefault="00697413" w:rsidP="00697413"/>
        </w:tc>
        <w:tc>
          <w:tcPr>
            <w:tcW w:w="666" w:type="dxa"/>
            <w:shd w:val="clear" w:color="auto" w:fill="FFC000"/>
          </w:tcPr>
          <w:p w14:paraId="092AE18A" w14:textId="77777777" w:rsidR="00697413" w:rsidRDefault="00697413" w:rsidP="00697413"/>
        </w:tc>
        <w:tc>
          <w:tcPr>
            <w:tcW w:w="665" w:type="dxa"/>
            <w:shd w:val="clear" w:color="auto" w:fill="FFC000"/>
          </w:tcPr>
          <w:p w14:paraId="4D1B0E0D" w14:textId="77777777" w:rsidR="00697413" w:rsidRDefault="00697413" w:rsidP="00697413"/>
        </w:tc>
        <w:tc>
          <w:tcPr>
            <w:tcW w:w="665" w:type="dxa"/>
          </w:tcPr>
          <w:p w14:paraId="21F6D4ED" w14:textId="77777777" w:rsidR="00697413" w:rsidRDefault="00697413" w:rsidP="00697413"/>
        </w:tc>
        <w:tc>
          <w:tcPr>
            <w:tcW w:w="665" w:type="dxa"/>
          </w:tcPr>
          <w:p w14:paraId="15535786" w14:textId="77777777" w:rsidR="00697413" w:rsidRDefault="00697413" w:rsidP="00697413"/>
        </w:tc>
        <w:tc>
          <w:tcPr>
            <w:tcW w:w="665" w:type="dxa"/>
          </w:tcPr>
          <w:p w14:paraId="395177D6" w14:textId="77777777" w:rsidR="00697413" w:rsidRDefault="00697413" w:rsidP="00697413"/>
        </w:tc>
        <w:tc>
          <w:tcPr>
            <w:tcW w:w="665" w:type="dxa"/>
          </w:tcPr>
          <w:p w14:paraId="056F2383" w14:textId="77777777" w:rsidR="00697413" w:rsidRDefault="00697413" w:rsidP="00697413"/>
        </w:tc>
        <w:tc>
          <w:tcPr>
            <w:tcW w:w="664" w:type="dxa"/>
          </w:tcPr>
          <w:p w14:paraId="13B2191B" w14:textId="77777777" w:rsidR="00697413" w:rsidRDefault="00697413" w:rsidP="00697413"/>
        </w:tc>
        <w:tc>
          <w:tcPr>
            <w:tcW w:w="664" w:type="dxa"/>
          </w:tcPr>
          <w:p w14:paraId="3279E359" w14:textId="77777777" w:rsidR="00697413" w:rsidRDefault="00697413" w:rsidP="00697413"/>
        </w:tc>
        <w:tc>
          <w:tcPr>
            <w:tcW w:w="664" w:type="dxa"/>
          </w:tcPr>
          <w:p w14:paraId="09138C33" w14:textId="77777777" w:rsidR="00697413" w:rsidRDefault="00697413" w:rsidP="00697413"/>
        </w:tc>
        <w:tc>
          <w:tcPr>
            <w:tcW w:w="664" w:type="dxa"/>
          </w:tcPr>
          <w:p w14:paraId="4DF64337" w14:textId="77777777" w:rsidR="00697413" w:rsidRDefault="00697413" w:rsidP="00697413"/>
        </w:tc>
        <w:tc>
          <w:tcPr>
            <w:tcW w:w="664" w:type="dxa"/>
          </w:tcPr>
          <w:p w14:paraId="7B7D61C7" w14:textId="77777777" w:rsidR="00697413" w:rsidRDefault="00697413" w:rsidP="00697413"/>
        </w:tc>
        <w:tc>
          <w:tcPr>
            <w:tcW w:w="664" w:type="dxa"/>
          </w:tcPr>
          <w:p w14:paraId="141D1677" w14:textId="77777777" w:rsidR="00697413" w:rsidRDefault="00697413" w:rsidP="00697413"/>
        </w:tc>
        <w:tc>
          <w:tcPr>
            <w:tcW w:w="664" w:type="dxa"/>
          </w:tcPr>
          <w:p w14:paraId="3AF3A0C8" w14:textId="77777777" w:rsidR="00697413" w:rsidRDefault="00697413" w:rsidP="00697413"/>
        </w:tc>
        <w:tc>
          <w:tcPr>
            <w:tcW w:w="664" w:type="dxa"/>
          </w:tcPr>
          <w:p w14:paraId="2F6BF26C" w14:textId="77777777" w:rsidR="00697413" w:rsidRDefault="00697413" w:rsidP="00697413"/>
        </w:tc>
        <w:tc>
          <w:tcPr>
            <w:tcW w:w="664" w:type="dxa"/>
          </w:tcPr>
          <w:p w14:paraId="5B3FE3F0" w14:textId="77777777" w:rsidR="00697413" w:rsidRDefault="00697413" w:rsidP="00697413"/>
        </w:tc>
        <w:tc>
          <w:tcPr>
            <w:tcW w:w="664" w:type="dxa"/>
          </w:tcPr>
          <w:p w14:paraId="3D184BB3" w14:textId="77777777" w:rsidR="00697413" w:rsidRDefault="00697413" w:rsidP="00697413"/>
        </w:tc>
        <w:tc>
          <w:tcPr>
            <w:tcW w:w="664" w:type="dxa"/>
          </w:tcPr>
          <w:p w14:paraId="681CDFE0" w14:textId="77777777" w:rsidR="00697413" w:rsidRDefault="00697413" w:rsidP="00697413"/>
        </w:tc>
        <w:tc>
          <w:tcPr>
            <w:tcW w:w="664" w:type="dxa"/>
          </w:tcPr>
          <w:p w14:paraId="36C58A03" w14:textId="77777777" w:rsidR="00697413" w:rsidRDefault="00697413" w:rsidP="00697413"/>
        </w:tc>
      </w:tr>
      <w:tr w:rsidR="00EF2C75" w:rsidRPr="0046753A" w14:paraId="591095E6" w14:textId="77777777" w:rsidTr="0046753A">
        <w:trPr>
          <w:trHeight w:val="20"/>
        </w:trPr>
        <w:tc>
          <w:tcPr>
            <w:tcW w:w="13948" w:type="dxa"/>
            <w:gridSpan w:val="21"/>
            <w:shd w:val="clear" w:color="auto" w:fill="DBDBDB" w:themeFill="accent3" w:themeFillTint="66"/>
          </w:tcPr>
          <w:p w14:paraId="374B267F" w14:textId="77777777" w:rsidR="00EF2C75" w:rsidRPr="0046753A" w:rsidRDefault="00EF2C75" w:rsidP="00697413">
            <w:pPr>
              <w:rPr>
                <w:rFonts w:ascii="Source Sans Pro" w:eastAsia="Source Sans Pro Semibold" w:hAnsi="Source Sans Pro" w:cs="Times New Roman"/>
                <w:b/>
                <w:color w:val="962D91"/>
                <w:sz w:val="24"/>
                <w:szCs w:val="24"/>
              </w:rPr>
            </w:pPr>
            <w:r w:rsidRPr="0046753A">
              <w:rPr>
                <w:rFonts w:ascii="Source Sans Pro" w:eastAsia="Source Sans Pro Semibold" w:hAnsi="Source Sans Pro" w:cs="Times New Roman"/>
                <w:b/>
                <w:color w:val="962D91"/>
                <w:sz w:val="24"/>
                <w:szCs w:val="24"/>
              </w:rPr>
              <w:t>Objective 7.0 Build effective external partnerships</w:t>
            </w:r>
          </w:p>
        </w:tc>
      </w:tr>
      <w:tr w:rsidR="00697413" w14:paraId="0A67197E" w14:textId="77777777" w:rsidTr="0046753A">
        <w:trPr>
          <w:trHeight w:val="20"/>
        </w:trPr>
        <w:tc>
          <w:tcPr>
            <w:tcW w:w="629" w:type="dxa"/>
            <w:shd w:val="clear" w:color="auto" w:fill="DBDBDB" w:themeFill="accent3" w:themeFillTint="66"/>
          </w:tcPr>
          <w:p w14:paraId="6C53887F" w14:textId="77777777" w:rsidR="00697413" w:rsidRDefault="00A43252" w:rsidP="00697413">
            <w:r>
              <w:t>7.1</w:t>
            </w:r>
          </w:p>
        </w:tc>
        <w:tc>
          <w:tcPr>
            <w:tcW w:w="694" w:type="dxa"/>
            <w:shd w:val="clear" w:color="auto" w:fill="FFC000" w:themeFill="accent4"/>
          </w:tcPr>
          <w:p w14:paraId="5BA85836" w14:textId="77777777" w:rsidR="00697413" w:rsidRDefault="00697413" w:rsidP="00697413"/>
        </w:tc>
        <w:tc>
          <w:tcPr>
            <w:tcW w:w="666" w:type="dxa"/>
            <w:shd w:val="clear" w:color="auto" w:fill="FFC000" w:themeFill="accent4"/>
          </w:tcPr>
          <w:p w14:paraId="644CF4FE" w14:textId="77777777" w:rsidR="00697413" w:rsidRDefault="00697413" w:rsidP="00697413"/>
        </w:tc>
        <w:tc>
          <w:tcPr>
            <w:tcW w:w="666" w:type="dxa"/>
            <w:shd w:val="clear" w:color="auto" w:fill="FFC000" w:themeFill="accent4"/>
          </w:tcPr>
          <w:p w14:paraId="775FAB42" w14:textId="77777777" w:rsidR="00697413" w:rsidRDefault="00697413" w:rsidP="00697413"/>
        </w:tc>
        <w:tc>
          <w:tcPr>
            <w:tcW w:w="665" w:type="dxa"/>
            <w:shd w:val="clear" w:color="auto" w:fill="FFC000" w:themeFill="accent4"/>
          </w:tcPr>
          <w:p w14:paraId="2C39EDE7" w14:textId="77777777" w:rsidR="00697413" w:rsidRDefault="00697413" w:rsidP="00697413"/>
        </w:tc>
        <w:tc>
          <w:tcPr>
            <w:tcW w:w="665" w:type="dxa"/>
            <w:shd w:val="clear" w:color="auto" w:fill="FFC000" w:themeFill="accent4"/>
          </w:tcPr>
          <w:p w14:paraId="45687230" w14:textId="77777777" w:rsidR="00697413" w:rsidRDefault="00697413" w:rsidP="00697413"/>
        </w:tc>
        <w:tc>
          <w:tcPr>
            <w:tcW w:w="665" w:type="dxa"/>
            <w:shd w:val="clear" w:color="auto" w:fill="FFC000" w:themeFill="accent4"/>
          </w:tcPr>
          <w:p w14:paraId="52F168EA" w14:textId="77777777" w:rsidR="00697413" w:rsidRDefault="00697413" w:rsidP="00697413"/>
        </w:tc>
        <w:tc>
          <w:tcPr>
            <w:tcW w:w="665" w:type="dxa"/>
            <w:shd w:val="clear" w:color="auto" w:fill="FFC000" w:themeFill="accent4"/>
          </w:tcPr>
          <w:p w14:paraId="1252ABCF" w14:textId="77777777" w:rsidR="00697413" w:rsidRDefault="00697413" w:rsidP="00697413"/>
        </w:tc>
        <w:tc>
          <w:tcPr>
            <w:tcW w:w="665" w:type="dxa"/>
          </w:tcPr>
          <w:p w14:paraId="0895CCAA" w14:textId="77777777" w:rsidR="00697413" w:rsidRDefault="00697413" w:rsidP="00697413"/>
        </w:tc>
        <w:tc>
          <w:tcPr>
            <w:tcW w:w="664" w:type="dxa"/>
          </w:tcPr>
          <w:p w14:paraId="75D94C87" w14:textId="77777777" w:rsidR="00697413" w:rsidRDefault="00697413" w:rsidP="00697413"/>
        </w:tc>
        <w:tc>
          <w:tcPr>
            <w:tcW w:w="664" w:type="dxa"/>
          </w:tcPr>
          <w:p w14:paraId="2C59CEC8" w14:textId="77777777" w:rsidR="00697413" w:rsidRDefault="00697413" w:rsidP="00697413"/>
        </w:tc>
        <w:tc>
          <w:tcPr>
            <w:tcW w:w="664" w:type="dxa"/>
          </w:tcPr>
          <w:p w14:paraId="0C5E8C53" w14:textId="77777777" w:rsidR="00697413" w:rsidRDefault="00697413" w:rsidP="00697413"/>
        </w:tc>
        <w:tc>
          <w:tcPr>
            <w:tcW w:w="664" w:type="dxa"/>
          </w:tcPr>
          <w:p w14:paraId="223A1270" w14:textId="77777777" w:rsidR="00697413" w:rsidRDefault="00697413" w:rsidP="00697413"/>
        </w:tc>
        <w:tc>
          <w:tcPr>
            <w:tcW w:w="664" w:type="dxa"/>
          </w:tcPr>
          <w:p w14:paraId="28E214B3" w14:textId="77777777" w:rsidR="00697413" w:rsidRDefault="00697413" w:rsidP="00697413"/>
        </w:tc>
        <w:tc>
          <w:tcPr>
            <w:tcW w:w="664" w:type="dxa"/>
          </w:tcPr>
          <w:p w14:paraId="0440F1D8" w14:textId="77777777" w:rsidR="00697413" w:rsidRDefault="00697413" w:rsidP="00697413"/>
        </w:tc>
        <w:tc>
          <w:tcPr>
            <w:tcW w:w="664" w:type="dxa"/>
          </w:tcPr>
          <w:p w14:paraId="4A8AA4A4" w14:textId="77777777" w:rsidR="00697413" w:rsidRDefault="00697413" w:rsidP="00697413"/>
        </w:tc>
        <w:tc>
          <w:tcPr>
            <w:tcW w:w="664" w:type="dxa"/>
          </w:tcPr>
          <w:p w14:paraId="43DAF1C2" w14:textId="77777777" w:rsidR="00697413" w:rsidRDefault="00697413" w:rsidP="00697413"/>
        </w:tc>
        <w:tc>
          <w:tcPr>
            <w:tcW w:w="664" w:type="dxa"/>
          </w:tcPr>
          <w:p w14:paraId="41797293" w14:textId="77777777" w:rsidR="00697413" w:rsidRDefault="00697413" w:rsidP="00697413"/>
        </w:tc>
        <w:tc>
          <w:tcPr>
            <w:tcW w:w="664" w:type="dxa"/>
          </w:tcPr>
          <w:p w14:paraId="6B2D35BC" w14:textId="77777777" w:rsidR="00697413" w:rsidRDefault="00697413" w:rsidP="00697413"/>
        </w:tc>
        <w:tc>
          <w:tcPr>
            <w:tcW w:w="664" w:type="dxa"/>
          </w:tcPr>
          <w:p w14:paraId="40736050" w14:textId="77777777" w:rsidR="00697413" w:rsidRDefault="00697413" w:rsidP="00697413"/>
        </w:tc>
        <w:tc>
          <w:tcPr>
            <w:tcW w:w="664" w:type="dxa"/>
          </w:tcPr>
          <w:p w14:paraId="2542B003" w14:textId="77777777" w:rsidR="00697413" w:rsidRDefault="00697413" w:rsidP="00697413"/>
        </w:tc>
      </w:tr>
      <w:tr w:rsidR="00A43252" w:rsidRPr="0046753A" w14:paraId="14577376" w14:textId="77777777" w:rsidTr="0046753A">
        <w:trPr>
          <w:trHeight w:val="20"/>
        </w:trPr>
        <w:tc>
          <w:tcPr>
            <w:tcW w:w="13948" w:type="dxa"/>
            <w:gridSpan w:val="21"/>
            <w:shd w:val="clear" w:color="auto" w:fill="DBDBDB" w:themeFill="accent3" w:themeFillTint="66"/>
          </w:tcPr>
          <w:p w14:paraId="3049A54E" w14:textId="77777777" w:rsidR="00A43252" w:rsidRPr="0046753A" w:rsidRDefault="00F52E94" w:rsidP="00697413">
            <w:pPr>
              <w:rPr>
                <w:rFonts w:ascii="Source Sans Pro" w:eastAsia="Source Sans Pro Semibold" w:hAnsi="Source Sans Pro" w:cs="Times New Roman"/>
                <w:b/>
                <w:color w:val="962D91"/>
                <w:sz w:val="24"/>
                <w:szCs w:val="24"/>
              </w:rPr>
            </w:pPr>
            <w:r w:rsidRPr="00F52E94">
              <w:rPr>
                <w:rFonts w:ascii="Source Sans Pro" w:eastAsia="Source Sans Pro Semibold" w:hAnsi="Source Sans Pro" w:cs="Times New Roman"/>
                <w:b/>
                <w:color w:val="962D91"/>
                <w:sz w:val="24"/>
                <w:szCs w:val="24"/>
              </w:rPr>
              <w:t>8.</w:t>
            </w:r>
            <w:r w:rsidRPr="00F52E94">
              <w:rPr>
                <w:rFonts w:ascii="Source Sans Pro" w:eastAsia="Source Sans Pro Semibold" w:hAnsi="Source Sans Pro" w:cs="Times New Roman"/>
                <w:b/>
                <w:color w:val="962D91"/>
                <w:sz w:val="24"/>
                <w:szCs w:val="24"/>
              </w:rPr>
              <w:tab/>
              <w:t>Increase awareness of evidence-based medicine and the use of Cochrane evidence among consumers worldwide</w:t>
            </w:r>
          </w:p>
        </w:tc>
      </w:tr>
      <w:tr w:rsidR="00677C4C" w14:paraId="254E35C2" w14:textId="77777777" w:rsidTr="0046753A">
        <w:trPr>
          <w:trHeight w:val="20"/>
        </w:trPr>
        <w:tc>
          <w:tcPr>
            <w:tcW w:w="629" w:type="dxa"/>
            <w:shd w:val="clear" w:color="auto" w:fill="DBDBDB" w:themeFill="accent3" w:themeFillTint="66"/>
          </w:tcPr>
          <w:p w14:paraId="79F52C56" w14:textId="77777777" w:rsidR="00677C4C" w:rsidRDefault="00677C4C" w:rsidP="00697413">
            <w:r>
              <w:t>8.1</w:t>
            </w:r>
          </w:p>
        </w:tc>
        <w:tc>
          <w:tcPr>
            <w:tcW w:w="694" w:type="dxa"/>
          </w:tcPr>
          <w:p w14:paraId="4DB2E178" w14:textId="77777777" w:rsidR="00677C4C" w:rsidRDefault="00677C4C" w:rsidP="00697413"/>
        </w:tc>
        <w:tc>
          <w:tcPr>
            <w:tcW w:w="666" w:type="dxa"/>
          </w:tcPr>
          <w:p w14:paraId="628086BE" w14:textId="77777777" w:rsidR="00677C4C" w:rsidRDefault="00677C4C" w:rsidP="00697413"/>
        </w:tc>
        <w:tc>
          <w:tcPr>
            <w:tcW w:w="666" w:type="dxa"/>
          </w:tcPr>
          <w:p w14:paraId="77BE122B" w14:textId="77777777" w:rsidR="00677C4C" w:rsidRDefault="00677C4C" w:rsidP="00697413"/>
        </w:tc>
        <w:tc>
          <w:tcPr>
            <w:tcW w:w="665" w:type="dxa"/>
          </w:tcPr>
          <w:p w14:paraId="51CBF215" w14:textId="77777777" w:rsidR="00677C4C" w:rsidRDefault="00677C4C" w:rsidP="00697413"/>
        </w:tc>
        <w:tc>
          <w:tcPr>
            <w:tcW w:w="665" w:type="dxa"/>
          </w:tcPr>
          <w:p w14:paraId="1812F037" w14:textId="77777777" w:rsidR="00677C4C" w:rsidRDefault="00677C4C" w:rsidP="00697413"/>
        </w:tc>
        <w:tc>
          <w:tcPr>
            <w:tcW w:w="665" w:type="dxa"/>
          </w:tcPr>
          <w:p w14:paraId="299626A1" w14:textId="77777777" w:rsidR="00677C4C" w:rsidRDefault="00677C4C" w:rsidP="00697413"/>
        </w:tc>
        <w:tc>
          <w:tcPr>
            <w:tcW w:w="665" w:type="dxa"/>
          </w:tcPr>
          <w:p w14:paraId="0054AE42" w14:textId="77777777" w:rsidR="00677C4C" w:rsidRDefault="00677C4C" w:rsidP="00697413"/>
        </w:tc>
        <w:tc>
          <w:tcPr>
            <w:tcW w:w="665" w:type="dxa"/>
          </w:tcPr>
          <w:p w14:paraId="4BADBD31" w14:textId="77777777" w:rsidR="00677C4C" w:rsidRDefault="00677C4C" w:rsidP="00697413"/>
        </w:tc>
        <w:tc>
          <w:tcPr>
            <w:tcW w:w="664" w:type="dxa"/>
            <w:shd w:val="clear" w:color="auto" w:fill="FFC000" w:themeFill="accent4"/>
          </w:tcPr>
          <w:p w14:paraId="633FE8E0" w14:textId="77777777" w:rsidR="00677C4C" w:rsidRDefault="00677C4C" w:rsidP="00697413"/>
        </w:tc>
        <w:tc>
          <w:tcPr>
            <w:tcW w:w="664" w:type="dxa"/>
            <w:shd w:val="clear" w:color="auto" w:fill="FFC000" w:themeFill="accent4"/>
          </w:tcPr>
          <w:p w14:paraId="25D5CD11" w14:textId="77777777" w:rsidR="00677C4C" w:rsidRDefault="00677C4C" w:rsidP="00697413"/>
        </w:tc>
        <w:tc>
          <w:tcPr>
            <w:tcW w:w="664" w:type="dxa"/>
            <w:shd w:val="clear" w:color="auto" w:fill="FFC000" w:themeFill="accent4"/>
          </w:tcPr>
          <w:p w14:paraId="1628CA0A" w14:textId="77777777" w:rsidR="00677C4C" w:rsidRDefault="00677C4C" w:rsidP="00697413"/>
        </w:tc>
        <w:tc>
          <w:tcPr>
            <w:tcW w:w="664" w:type="dxa"/>
          </w:tcPr>
          <w:p w14:paraId="35DB9256" w14:textId="77777777" w:rsidR="00677C4C" w:rsidRDefault="00677C4C" w:rsidP="00697413"/>
        </w:tc>
        <w:tc>
          <w:tcPr>
            <w:tcW w:w="664" w:type="dxa"/>
          </w:tcPr>
          <w:p w14:paraId="4389C9A1" w14:textId="77777777" w:rsidR="00677C4C" w:rsidRDefault="00677C4C" w:rsidP="00697413"/>
        </w:tc>
        <w:tc>
          <w:tcPr>
            <w:tcW w:w="664" w:type="dxa"/>
          </w:tcPr>
          <w:p w14:paraId="1808FDE8" w14:textId="77777777" w:rsidR="00677C4C" w:rsidRDefault="00677C4C" w:rsidP="00697413"/>
        </w:tc>
        <w:tc>
          <w:tcPr>
            <w:tcW w:w="664" w:type="dxa"/>
          </w:tcPr>
          <w:p w14:paraId="2C016DA5" w14:textId="77777777" w:rsidR="00677C4C" w:rsidRDefault="00677C4C" w:rsidP="00697413"/>
        </w:tc>
        <w:tc>
          <w:tcPr>
            <w:tcW w:w="664" w:type="dxa"/>
          </w:tcPr>
          <w:p w14:paraId="4DD82DE7" w14:textId="77777777" w:rsidR="00677C4C" w:rsidRDefault="00677C4C" w:rsidP="00697413"/>
        </w:tc>
        <w:tc>
          <w:tcPr>
            <w:tcW w:w="664" w:type="dxa"/>
          </w:tcPr>
          <w:p w14:paraId="7965E463" w14:textId="77777777" w:rsidR="00677C4C" w:rsidRDefault="00677C4C" w:rsidP="00697413"/>
        </w:tc>
        <w:tc>
          <w:tcPr>
            <w:tcW w:w="664" w:type="dxa"/>
          </w:tcPr>
          <w:p w14:paraId="54F79244" w14:textId="77777777" w:rsidR="00677C4C" w:rsidRDefault="00677C4C" w:rsidP="00697413"/>
        </w:tc>
        <w:tc>
          <w:tcPr>
            <w:tcW w:w="664" w:type="dxa"/>
          </w:tcPr>
          <w:p w14:paraId="38B30E8C" w14:textId="77777777" w:rsidR="00677C4C" w:rsidRDefault="00677C4C" w:rsidP="00697413"/>
        </w:tc>
        <w:tc>
          <w:tcPr>
            <w:tcW w:w="664" w:type="dxa"/>
          </w:tcPr>
          <w:p w14:paraId="4841F484" w14:textId="77777777" w:rsidR="00677C4C" w:rsidRDefault="00677C4C" w:rsidP="00697413"/>
        </w:tc>
      </w:tr>
    </w:tbl>
    <w:p w14:paraId="44712A18" w14:textId="77777777" w:rsidR="001956BF" w:rsidRDefault="001956BF" w:rsidP="00F52E94"/>
    <w:sectPr w:rsidR="001956BF" w:rsidSect="001F2314">
      <w:type w:val="continuous"/>
      <w:pgSz w:w="16838" w:h="11906" w:orient="landscape" w:code="9"/>
      <w:pgMar w:top="567"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172F" w14:textId="77777777" w:rsidR="00F26764" w:rsidRDefault="00F26764">
      <w:pPr>
        <w:spacing w:after="0" w:line="240" w:lineRule="auto"/>
      </w:pPr>
      <w:r>
        <w:separator/>
      </w:r>
    </w:p>
  </w:endnote>
  <w:endnote w:type="continuationSeparator" w:id="0">
    <w:p w14:paraId="20B02D93" w14:textId="77777777" w:rsidR="00F26764" w:rsidRDefault="00F2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Corbel"/>
    <w:charset w:val="00"/>
    <w:family w:val="auto"/>
    <w:pitch w:val="variable"/>
    <w:sig w:usb0="00000001" w:usb1="00000001" w:usb2="00000000" w:usb3="00000000" w:csb0="00000193" w:csb1="00000000"/>
  </w:font>
  <w:font w:name="Source Sans Pro Semibold">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AFF8" w14:textId="77777777" w:rsidR="00133B8D" w:rsidRDefault="0013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A349" w14:textId="77777777" w:rsidR="00133B8D" w:rsidRDefault="00133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0A8C" w14:textId="77777777" w:rsidR="00133B8D" w:rsidRDefault="00133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54868"/>
      <w:docPartObj>
        <w:docPartGallery w:val="Page Numbers (Bottom of Page)"/>
        <w:docPartUnique/>
      </w:docPartObj>
    </w:sdtPr>
    <w:sdtEndPr>
      <w:rPr>
        <w:noProof/>
      </w:rPr>
    </w:sdtEndPr>
    <w:sdtContent>
      <w:p w14:paraId="5613C985" w14:textId="6637DD2E" w:rsidR="00133B8D" w:rsidRDefault="00133B8D">
        <w:pPr>
          <w:pStyle w:val="Footer"/>
          <w:jc w:val="center"/>
        </w:pPr>
        <w:r>
          <w:fldChar w:fldCharType="begin"/>
        </w:r>
        <w:r>
          <w:instrText xml:space="preserve"> PAGE   \* MERGEFORMAT </w:instrText>
        </w:r>
        <w:r>
          <w:fldChar w:fldCharType="separate"/>
        </w:r>
        <w:r w:rsidR="008044EA">
          <w:rPr>
            <w:noProof/>
          </w:rPr>
          <w:t>7</w:t>
        </w:r>
        <w:r>
          <w:rPr>
            <w:noProof/>
          </w:rPr>
          <w:fldChar w:fldCharType="end"/>
        </w:r>
      </w:p>
    </w:sdtContent>
  </w:sdt>
  <w:p w14:paraId="5026E090" w14:textId="77777777" w:rsidR="00133B8D" w:rsidRPr="001440A0" w:rsidRDefault="00133B8D" w:rsidP="005E7A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5E49" w14:textId="77777777" w:rsidR="00F26764" w:rsidRDefault="00F26764">
      <w:pPr>
        <w:spacing w:after="0" w:line="240" w:lineRule="auto"/>
      </w:pPr>
      <w:r>
        <w:separator/>
      </w:r>
    </w:p>
  </w:footnote>
  <w:footnote w:type="continuationSeparator" w:id="0">
    <w:p w14:paraId="798657F7" w14:textId="77777777" w:rsidR="00F26764" w:rsidRDefault="00F2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1E8A" w14:textId="77777777" w:rsidR="00133B8D" w:rsidRDefault="00F26764">
    <w:pPr>
      <w:pStyle w:val="Header"/>
    </w:pPr>
    <w:r>
      <w:rPr>
        <w:noProof/>
      </w:rPr>
      <w:pict w14:anchorId="6896F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16"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CCC5" w14:textId="77777777" w:rsidR="00133B8D" w:rsidRDefault="00F26764">
    <w:pPr>
      <w:pStyle w:val="Header"/>
    </w:pPr>
    <w:r>
      <w:rPr>
        <w:noProof/>
      </w:rPr>
      <w:pict w14:anchorId="0213F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17"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D83B" w14:textId="77777777" w:rsidR="00133B8D" w:rsidRDefault="00F26764">
    <w:pPr>
      <w:pStyle w:val="Header"/>
    </w:pPr>
    <w:r>
      <w:rPr>
        <w:noProof/>
      </w:rPr>
      <w:pict w14:anchorId="534A4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15"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D49A" w14:textId="77777777" w:rsidR="00133B8D" w:rsidRDefault="00F26764">
    <w:pPr>
      <w:pStyle w:val="Header"/>
    </w:pPr>
    <w:r>
      <w:rPr>
        <w:noProof/>
      </w:rPr>
      <w:pict w14:anchorId="64700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19" o:spid="_x0000_s2053" type="#_x0000_t136" style="position:absolute;margin-left:0;margin-top:0;width:424.2pt;height:212.1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8B33" w14:textId="77777777" w:rsidR="00133B8D" w:rsidRDefault="00F26764">
    <w:pPr>
      <w:pStyle w:val="Header"/>
    </w:pPr>
    <w:r>
      <w:rPr>
        <w:noProof/>
      </w:rPr>
      <w:pict w14:anchorId="38F83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20" o:spid="_x0000_s2054" type="#_x0000_t136" style="position:absolute;margin-left:0;margin-top:0;width:424.2pt;height:212.1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4AF6" w14:textId="77777777" w:rsidR="00133B8D" w:rsidRDefault="00F26764">
    <w:pPr>
      <w:pStyle w:val="Header"/>
    </w:pPr>
    <w:r>
      <w:rPr>
        <w:noProof/>
      </w:rPr>
      <w:pict w14:anchorId="256FE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61518" o:spid="_x0000_s2052" type="#_x0000_t136" style="position:absolute;margin-left:0;margin-top:0;width:424.2pt;height:212.1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9A4"/>
    <w:multiLevelType w:val="hybridMultilevel"/>
    <w:tmpl w:val="9A7E6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192892"/>
    <w:multiLevelType w:val="hybridMultilevel"/>
    <w:tmpl w:val="5EBE1B92"/>
    <w:lvl w:ilvl="0" w:tplc="90827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8735A"/>
    <w:multiLevelType w:val="hybridMultilevel"/>
    <w:tmpl w:val="249CC56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B6B35"/>
    <w:multiLevelType w:val="hybridMultilevel"/>
    <w:tmpl w:val="44FA81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6D0B44"/>
    <w:multiLevelType w:val="hybridMultilevel"/>
    <w:tmpl w:val="31CE3AE0"/>
    <w:lvl w:ilvl="0" w:tplc="58F41D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F0432"/>
    <w:multiLevelType w:val="hybridMultilevel"/>
    <w:tmpl w:val="5218D03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480C4977"/>
    <w:multiLevelType w:val="hybridMultilevel"/>
    <w:tmpl w:val="1B8051D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E412DD"/>
    <w:multiLevelType w:val="hybridMultilevel"/>
    <w:tmpl w:val="44FA81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A17693"/>
    <w:multiLevelType w:val="hybridMultilevel"/>
    <w:tmpl w:val="44FA81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E90E2E"/>
    <w:multiLevelType w:val="hybridMultilevel"/>
    <w:tmpl w:val="6232A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A4FF8"/>
    <w:multiLevelType w:val="hybridMultilevel"/>
    <w:tmpl w:val="9A7E6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5611494"/>
    <w:multiLevelType w:val="hybridMultilevel"/>
    <w:tmpl w:val="49D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F5F3E"/>
    <w:multiLevelType w:val="hybridMultilevel"/>
    <w:tmpl w:val="9A7E6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2C7430"/>
    <w:multiLevelType w:val="hybridMultilevel"/>
    <w:tmpl w:val="3F7CEFC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BC7091"/>
    <w:multiLevelType w:val="hybridMultilevel"/>
    <w:tmpl w:val="80A6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60A66"/>
    <w:multiLevelType w:val="hybridMultilevel"/>
    <w:tmpl w:val="9A7E6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7E6C30"/>
    <w:multiLevelType w:val="hybridMultilevel"/>
    <w:tmpl w:val="9A7E6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FC29DC"/>
    <w:multiLevelType w:val="hybridMultilevel"/>
    <w:tmpl w:val="49FEE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4"/>
  </w:num>
  <w:num w:numId="5">
    <w:abstractNumId w:val="4"/>
  </w:num>
  <w:num w:numId="6">
    <w:abstractNumId w:val="6"/>
  </w:num>
  <w:num w:numId="7">
    <w:abstractNumId w:val="9"/>
  </w:num>
  <w:num w:numId="8">
    <w:abstractNumId w:val="7"/>
  </w:num>
  <w:num w:numId="9">
    <w:abstractNumId w:val="10"/>
  </w:num>
  <w:num w:numId="10">
    <w:abstractNumId w:val="15"/>
  </w:num>
  <w:num w:numId="11">
    <w:abstractNumId w:val="0"/>
  </w:num>
  <w:num w:numId="12">
    <w:abstractNumId w:val="16"/>
  </w:num>
  <w:num w:numId="13">
    <w:abstractNumId w:val="12"/>
  </w:num>
  <w:num w:numId="14">
    <w:abstractNumId w:val="8"/>
  </w:num>
  <w:num w:numId="15">
    <w:abstractNumId w:val="3"/>
  </w:num>
  <w:num w:numId="16">
    <w:abstractNumId w:val="1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2E"/>
    <w:rsid w:val="000063A0"/>
    <w:rsid w:val="0001299F"/>
    <w:rsid w:val="00016B24"/>
    <w:rsid w:val="00016C5B"/>
    <w:rsid w:val="00022D5E"/>
    <w:rsid w:val="000257BB"/>
    <w:rsid w:val="000363D4"/>
    <w:rsid w:val="00076E9E"/>
    <w:rsid w:val="000A3880"/>
    <w:rsid w:val="000C4380"/>
    <w:rsid w:val="000D1BAA"/>
    <w:rsid w:val="000D4AFF"/>
    <w:rsid w:val="000D603F"/>
    <w:rsid w:val="000F3977"/>
    <w:rsid w:val="000F48F8"/>
    <w:rsid w:val="001136B4"/>
    <w:rsid w:val="0012504D"/>
    <w:rsid w:val="00127451"/>
    <w:rsid w:val="00127DD7"/>
    <w:rsid w:val="00133B8D"/>
    <w:rsid w:val="00142644"/>
    <w:rsid w:val="0018393A"/>
    <w:rsid w:val="001956BF"/>
    <w:rsid w:val="001C7803"/>
    <w:rsid w:val="001F1431"/>
    <w:rsid w:val="001F2314"/>
    <w:rsid w:val="001F5BE6"/>
    <w:rsid w:val="00210F20"/>
    <w:rsid w:val="0022237F"/>
    <w:rsid w:val="00225F2B"/>
    <w:rsid w:val="00240BE4"/>
    <w:rsid w:val="00241AA0"/>
    <w:rsid w:val="002436AB"/>
    <w:rsid w:val="00287D18"/>
    <w:rsid w:val="002A4631"/>
    <w:rsid w:val="002B07E4"/>
    <w:rsid w:val="002C374F"/>
    <w:rsid w:val="002E2885"/>
    <w:rsid w:val="002E4C7E"/>
    <w:rsid w:val="00310E1B"/>
    <w:rsid w:val="00317C8F"/>
    <w:rsid w:val="003326A1"/>
    <w:rsid w:val="00334C33"/>
    <w:rsid w:val="00344CE7"/>
    <w:rsid w:val="0036082F"/>
    <w:rsid w:val="003630F5"/>
    <w:rsid w:val="003676FB"/>
    <w:rsid w:val="00371D2D"/>
    <w:rsid w:val="003A11A6"/>
    <w:rsid w:val="003A36E9"/>
    <w:rsid w:val="003D70E7"/>
    <w:rsid w:val="003E3092"/>
    <w:rsid w:val="003E3AE4"/>
    <w:rsid w:val="003E3E64"/>
    <w:rsid w:val="003F1FCE"/>
    <w:rsid w:val="0040079D"/>
    <w:rsid w:val="00401758"/>
    <w:rsid w:val="004023A0"/>
    <w:rsid w:val="00404331"/>
    <w:rsid w:val="0040714E"/>
    <w:rsid w:val="004121D8"/>
    <w:rsid w:val="00416EC5"/>
    <w:rsid w:val="00432944"/>
    <w:rsid w:val="00432C2E"/>
    <w:rsid w:val="00437EFA"/>
    <w:rsid w:val="00441D7A"/>
    <w:rsid w:val="0044703C"/>
    <w:rsid w:val="00451BA8"/>
    <w:rsid w:val="00461E7A"/>
    <w:rsid w:val="0046753A"/>
    <w:rsid w:val="004949DE"/>
    <w:rsid w:val="00497FD3"/>
    <w:rsid w:val="004B0A10"/>
    <w:rsid w:val="004B1E5B"/>
    <w:rsid w:val="004B7903"/>
    <w:rsid w:val="004E0B5F"/>
    <w:rsid w:val="00513C38"/>
    <w:rsid w:val="00520838"/>
    <w:rsid w:val="005259D9"/>
    <w:rsid w:val="00531F77"/>
    <w:rsid w:val="005446D5"/>
    <w:rsid w:val="005666FD"/>
    <w:rsid w:val="005738EB"/>
    <w:rsid w:val="00580757"/>
    <w:rsid w:val="005A44C5"/>
    <w:rsid w:val="005B33F3"/>
    <w:rsid w:val="005B37DC"/>
    <w:rsid w:val="005B7FBC"/>
    <w:rsid w:val="005E0EC6"/>
    <w:rsid w:val="005E7A7F"/>
    <w:rsid w:val="00617194"/>
    <w:rsid w:val="00631C0A"/>
    <w:rsid w:val="00631F62"/>
    <w:rsid w:val="0064139C"/>
    <w:rsid w:val="00652706"/>
    <w:rsid w:val="006653F7"/>
    <w:rsid w:val="00676197"/>
    <w:rsid w:val="00677C4C"/>
    <w:rsid w:val="00691A5E"/>
    <w:rsid w:val="00697413"/>
    <w:rsid w:val="006A47B7"/>
    <w:rsid w:val="006D3E27"/>
    <w:rsid w:val="006D504B"/>
    <w:rsid w:val="006E5354"/>
    <w:rsid w:val="006E6521"/>
    <w:rsid w:val="006F1364"/>
    <w:rsid w:val="007152B0"/>
    <w:rsid w:val="007161AC"/>
    <w:rsid w:val="00724455"/>
    <w:rsid w:val="007351F6"/>
    <w:rsid w:val="00763DA6"/>
    <w:rsid w:val="00774FD4"/>
    <w:rsid w:val="00776CC6"/>
    <w:rsid w:val="007B676B"/>
    <w:rsid w:val="007C4A3F"/>
    <w:rsid w:val="007F242A"/>
    <w:rsid w:val="007F37C5"/>
    <w:rsid w:val="007F52D8"/>
    <w:rsid w:val="008044EA"/>
    <w:rsid w:val="00805C6B"/>
    <w:rsid w:val="00822560"/>
    <w:rsid w:val="00843087"/>
    <w:rsid w:val="0084621D"/>
    <w:rsid w:val="00864FF8"/>
    <w:rsid w:val="00865AEE"/>
    <w:rsid w:val="008768D3"/>
    <w:rsid w:val="0089573C"/>
    <w:rsid w:val="008B1C9E"/>
    <w:rsid w:val="008C583B"/>
    <w:rsid w:val="008E2E70"/>
    <w:rsid w:val="008E5732"/>
    <w:rsid w:val="008F5B80"/>
    <w:rsid w:val="00902812"/>
    <w:rsid w:val="009045DA"/>
    <w:rsid w:val="009057C1"/>
    <w:rsid w:val="00930843"/>
    <w:rsid w:val="00953DF7"/>
    <w:rsid w:val="00954C76"/>
    <w:rsid w:val="009661D6"/>
    <w:rsid w:val="009709D6"/>
    <w:rsid w:val="009823D1"/>
    <w:rsid w:val="009A2940"/>
    <w:rsid w:val="009B6F76"/>
    <w:rsid w:val="009C0A9C"/>
    <w:rsid w:val="009C6533"/>
    <w:rsid w:val="009C7C2A"/>
    <w:rsid w:val="009D25F9"/>
    <w:rsid w:val="009E2384"/>
    <w:rsid w:val="009F223D"/>
    <w:rsid w:val="00A11C36"/>
    <w:rsid w:val="00A15384"/>
    <w:rsid w:val="00A25E28"/>
    <w:rsid w:val="00A3125A"/>
    <w:rsid w:val="00A41D25"/>
    <w:rsid w:val="00A43252"/>
    <w:rsid w:val="00A77BF5"/>
    <w:rsid w:val="00A85CD4"/>
    <w:rsid w:val="00A85EBA"/>
    <w:rsid w:val="00A96E06"/>
    <w:rsid w:val="00AA0B29"/>
    <w:rsid w:val="00AA7D1D"/>
    <w:rsid w:val="00AB2574"/>
    <w:rsid w:val="00AB7E81"/>
    <w:rsid w:val="00AC0B5A"/>
    <w:rsid w:val="00AC269F"/>
    <w:rsid w:val="00AE4901"/>
    <w:rsid w:val="00AF1542"/>
    <w:rsid w:val="00B00B3E"/>
    <w:rsid w:val="00B16FA5"/>
    <w:rsid w:val="00B21500"/>
    <w:rsid w:val="00B2790C"/>
    <w:rsid w:val="00B459CE"/>
    <w:rsid w:val="00B82285"/>
    <w:rsid w:val="00B927FF"/>
    <w:rsid w:val="00BA1CE2"/>
    <w:rsid w:val="00BB0B38"/>
    <w:rsid w:val="00BB19A5"/>
    <w:rsid w:val="00BB3554"/>
    <w:rsid w:val="00BB5C3B"/>
    <w:rsid w:val="00BC63D3"/>
    <w:rsid w:val="00BD3D3A"/>
    <w:rsid w:val="00BE080B"/>
    <w:rsid w:val="00BE3268"/>
    <w:rsid w:val="00C1780C"/>
    <w:rsid w:val="00C20FA7"/>
    <w:rsid w:val="00C420D0"/>
    <w:rsid w:val="00C427AE"/>
    <w:rsid w:val="00C6496E"/>
    <w:rsid w:val="00C70274"/>
    <w:rsid w:val="00C76DDD"/>
    <w:rsid w:val="00C813FA"/>
    <w:rsid w:val="00C87FB5"/>
    <w:rsid w:val="00CA6748"/>
    <w:rsid w:val="00CD3561"/>
    <w:rsid w:val="00CD4971"/>
    <w:rsid w:val="00CD58EA"/>
    <w:rsid w:val="00CF22FE"/>
    <w:rsid w:val="00D03516"/>
    <w:rsid w:val="00D04A88"/>
    <w:rsid w:val="00D05D26"/>
    <w:rsid w:val="00D1731D"/>
    <w:rsid w:val="00D5235E"/>
    <w:rsid w:val="00D53469"/>
    <w:rsid w:val="00D71CB8"/>
    <w:rsid w:val="00D74C4D"/>
    <w:rsid w:val="00D80E8A"/>
    <w:rsid w:val="00D82372"/>
    <w:rsid w:val="00D830C7"/>
    <w:rsid w:val="00D90225"/>
    <w:rsid w:val="00D927FF"/>
    <w:rsid w:val="00DA2C06"/>
    <w:rsid w:val="00DB19B4"/>
    <w:rsid w:val="00DB1D7E"/>
    <w:rsid w:val="00DB5346"/>
    <w:rsid w:val="00DE066F"/>
    <w:rsid w:val="00DE2289"/>
    <w:rsid w:val="00E150BF"/>
    <w:rsid w:val="00E53B49"/>
    <w:rsid w:val="00E56070"/>
    <w:rsid w:val="00E74F64"/>
    <w:rsid w:val="00E8615A"/>
    <w:rsid w:val="00EB08CE"/>
    <w:rsid w:val="00EB4CBC"/>
    <w:rsid w:val="00EB7EC4"/>
    <w:rsid w:val="00EC616C"/>
    <w:rsid w:val="00ED0160"/>
    <w:rsid w:val="00ED063F"/>
    <w:rsid w:val="00ED190B"/>
    <w:rsid w:val="00ED1E48"/>
    <w:rsid w:val="00EE15E8"/>
    <w:rsid w:val="00EE22EC"/>
    <w:rsid w:val="00EF2C75"/>
    <w:rsid w:val="00EF31EA"/>
    <w:rsid w:val="00F02D9D"/>
    <w:rsid w:val="00F16665"/>
    <w:rsid w:val="00F26764"/>
    <w:rsid w:val="00F52E94"/>
    <w:rsid w:val="00F62C71"/>
    <w:rsid w:val="00F85E5C"/>
    <w:rsid w:val="00FA7F9F"/>
    <w:rsid w:val="00FB25DA"/>
    <w:rsid w:val="00FD1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0DB70F3"/>
  <w15:docId w15:val="{DBB61260-3EA6-448A-9379-0D8E707B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432C2E"/>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41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qFormat/>
    <w:rsid w:val="005B37DC"/>
    <w:pPr>
      <w:spacing w:after="113" w:line="280" w:lineRule="exact"/>
    </w:pPr>
    <w:rPr>
      <w:rFonts w:asciiTheme="majorHAnsi" w:hAnsiTheme="majorHAnsi"/>
      <w:sz w:val="24"/>
    </w:rPr>
  </w:style>
  <w:style w:type="character" w:customStyle="1" w:styleId="BodyTextChar">
    <w:name w:val="Body Text Char"/>
    <w:basedOn w:val="DefaultParagraphFont"/>
    <w:link w:val="BodyText"/>
    <w:uiPriority w:val="3"/>
    <w:rsid w:val="005B37DC"/>
    <w:rPr>
      <w:rFonts w:asciiTheme="majorHAnsi" w:hAnsiTheme="majorHAnsi"/>
      <w:sz w:val="24"/>
    </w:rPr>
  </w:style>
  <w:style w:type="paragraph" w:styleId="ListParagraph">
    <w:name w:val="List Paragraph"/>
    <w:basedOn w:val="Normal"/>
    <w:uiPriority w:val="34"/>
    <w:qFormat/>
    <w:rsid w:val="009057C1"/>
    <w:pPr>
      <w:ind w:left="720"/>
      <w:contextualSpacing/>
    </w:pPr>
  </w:style>
  <w:style w:type="paragraph" w:styleId="Header">
    <w:name w:val="header"/>
    <w:basedOn w:val="Normal"/>
    <w:link w:val="HeaderChar"/>
    <w:uiPriority w:val="99"/>
    <w:unhideWhenUsed/>
    <w:rsid w:val="00AF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542"/>
  </w:style>
  <w:style w:type="paragraph" w:styleId="Footer">
    <w:name w:val="footer"/>
    <w:basedOn w:val="Normal"/>
    <w:link w:val="FooterChar"/>
    <w:uiPriority w:val="99"/>
    <w:unhideWhenUsed/>
    <w:rsid w:val="00AF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542"/>
  </w:style>
  <w:style w:type="character" w:styleId="Strong">
    <w:name w:val="Strong"/>
    <w:basedOn w:val="DefaultParagraphFont"/>
    <w:uiPriority w:val="22"/>
    <w:qFormat/>
    <w:rsid w:val="004949DE"/>
    <w:rPr>
      <w:b/>
      <w:bCs/>
    </w:rPr>
  </w:style>
  <w:style w:type="character" w:styleId="Hyperlink">
    <w:name w:val="Hyperlink"/>
    <w:basedOn w:val="DefaultParagraphFont"/>
    <w:uiPriority w:val="99"/>
    <w:unhideWhenUsed/>
    <w:rsid w:val="004949DE"/>
    <w:rPr>
      <w:color w:val="0563C1" w:themeColor="hyperlink"/>
      <w:u w:val="single"/>
    </w:rPr>
  </w:style>
  <w:style w:type="paragraph" w:styleId="BalloonText">
    <w:name w:val="Balloon Text"/>
    <w:basedOn w:val="Normal"/>
    <w:link w:val="BalloonTextChar"/>
    <w:uiPriority w:val="99"/>
    <w:semiHidden/>
    <w:unhideWhenUsed/>
    <w:rsid w:val="008B1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C9E"/>
    <w:rPr>
      <w:rFonts w:ascii="Segoe UI" w:hAnsi="Segoe UI" w:cs="Segoe UI"/>
      <w:sz w:val="18"/>
      <w:szCs w:val="18"/>
    </w:rPr>
  </w:style>
  <w:style w:type="character" w:styleId="CommentReference">
    <w:name w:val="annotation reference"/>
    <w:basedOn w:val="DefaultParagraphFont"/>
    <w:uiPriority w:val="99"/>
    <w:semiHidden/>
    <w:unhideWhenUsed/>
    <w:rsid w:val="00D04A88"/>
    <w:rPr>
      <w:sz w:val="16"/>
      <w:szCs w:val="16"/>
    </w:rPr>
  </w:style>
  <w:style w:type="paragraph" w:styleId="CommentText">
    <w:name w:val="annotation text"/>
    <w:basedOn w:val="Normal"/>
    <w:link w:val="CommentTextChar"/>
    <w:uiPriority w:val="99"/>
    <w:semiHidden/>
    <w:unhideWhenUsed/>
    <w:rsid w:val="00D04A88"/>
    <w:pPr>
      <w:spacing w:line="240" w:lineRule="auto"/>
    </w:pPr>
    <w:rPr>
      <w:sz w:val="20"/>
      <w:szCs w:val="20"/>
    </w:rPr>
  </w:style>
  <w:style w:type="character" w:customStyle="1" w:styleId="CommentTextChar">
    <w:name w:val="Comment Text Char"/>
    <w:basedOn w:val="DefaultParagraphFont"/>
    <w:link w:val="CommentText"/>
    <w:uiPriority w:val="99"/>
    <w:semiHidden/>
    <w:rsid w:val="00D04A88"/>
    <w:rPr>
      <w:sz w:val="20"/>
      <w:szCs w:val="20"/>
    </w:rPr>
  </w:style>
  <w:style w:type="paragraph" w:styleId="CommentSubject">
    <w:name w:val="annotation subject"/>
    <w:basedOn w:val="CommentText"/>
    <w:next w:val="CommentText"/>
    <w:link w:val="CommentSubjectChar"/>
    <w:uiPriority w:val="99"/>
    <w:semiHidden/>
    <w:unhideWhenUsed/>
    <w:rsid w:val="00D04A88"/>
    <w:rPr>
      <w:b/>
      <w:bCs/>
    </w:rPr>
  </w:style>
  <w:style w:type="character" w:customStyle="1" w:styleId="CommentSubjectChar">
    <w:name w:val="Comment Subject Char"/>
    <w:basedOn w:val="CommentTextChar"/>
    <w:link w:val="CommentSubject"/>
    <w:uiPriority w:val="99"/>
    <w:semiHidden/>
    <w:rsid w:val="00D04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vo.org.uk/"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Morley</dc:creator>
  <cp:keywords/>
  <dc:description/>
  <cp:lastModifiedBy>Nancy Fitton</cp:lastModifiedBy>
  <cp:revision>2</cp:revision>
  <dcterms:created xsi:type="dcterms:W3CDTF">2016-02-08T17:31:00Z</dcterms:created>
  <dcterms:modified xsi:type="dcterms:W3CDTF">2016-02-08T17:31:00Z</dcterms:modified>
</cp:coreProperties>
</file>